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80FD" w14:textId="3D3C8129" w:rsidR="00C609CE" w:rsidRPr="007D60ED" w:rsidRDefault="00C609CE" w:rsidP="006E5CB4">
      <w:pPr>
        <w:pStyle w:val="Default"/>
        <w:tabs>
          <w:tab w:val="left" w:pos="2805"/>
          <w:tab w:val="left" w:pos="7200"/>
        </w:tabs>
      </w:pPr>
    </w:p>
    <w:p w14:paraId="3AF633B7" w14:textId="77777777" w:rsidR="00435B39" w:rsidRPr="007D60ED" w:rsidRDefault="00435B39" w:rsidP="00616609">
      <w:pPr>
        <w:spacing w:after="0" w:line="240" w:lineRule="auto"/>
        <w:rPr>
          <w:b/>
          <w:smallCaps/>
          <w:color w:val="FFFFFF"/>
          <w:sz w:val="24"/>
          <w:szCs w:val="24"/>
        </w:rPr>
      </w:pPr>
    </w:p>
    <w:p w14:paraId="122ACA1A" w14:textId="77777777" w:rsidR="00616609" w:rsidRPr="007D60ED" w:rsidRDefault="00616609" w:rsidP="00616609">
      <w:pPr>
        <w:autoSpaceDE w:val="0"/>
        <w:autoSpaceDN w:val="0"/>
        <w:adjustRightInd w:val="0"/>
        <w:spacing w:after="0" w:line="240" w:lineRule="auto"/>
        <w:rPr>
          <w:rFonts w:cs="TTE1BAE340t00"/>
          <w:b/>
          <w:sz w:val="24"/>
          <w:szCs w:val="24"/>
        </w:rPr>
      </w:pPr>
    </w:p>
    <w:p w14:paraId="0E97FA06" w14:textId="435D5315" w:rsidR="008D001E" w:rsidRPr="007D60ED" w:rsidRDefault="002D6605" w:rsidP="007D60ED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cs="TTE1BAE340t00"/>
          <w:sz w:val="24"/>
          <w:szCs w:val="24"/>
        </w:rPr>
      </w:pPr>
      <w:r w:rsidRPr="007D60ED">
        <w:rPr>
          <w:rFonts w:cs="Calibri"/>
          <w:sz w:val="24"/>
          <w:szCs w:val="24"/>
        </w:rPr>
        <w:t>10 TAC §23.50(f)(</w:t>
      </w:r>
      <w:r w:rsidR="00AF60EF">
        <w:rPr>
          <w:rFonts w:cs="Calibri"/>
          <w:sz w:val="24"/>
          <w:szCs w:val="24"/>
        </w:rPr>
        <w:t>2</w:t>
      </w:r>
      <w:r w:rsidRPr="007D60ED">
        <w:rPr>
          <w:rFonts w:cs="Calibri"/>
          <w:sz w:val="24"/>
          <w:szCs w:val="24"/>
        </w:rPr>
        <w:t xml:space="preserve">) </w:t>
      </w:r>
      <w:r w:rsidR="00AF60EF">
        <w:rPr>
          <w:rFonts w:cs="Calibri"/>
          <w:sz w:val="24"/>
          <w:szCs w:val="24"/>
        </w:rPr>
        <w:t xml:space="preserve">allows for an exception to the 60 months </w:t>
      </w:r>
      <w:r w:rsidR="00AF60EF" w:rsidRPr="007D60ED">
        <w:rPr>
          <w:rFonts w:cs="Calibri"/>
          <w:sz w:val="24"/>
          <w:szCs w:val="24"/>
        </w:rPr>
        <w:t>limit</w:t>
      </w:r>
      <w:r w:rsidR="00AF60EF">
        <w:rPr>
          <w:rFonts w:cs="Calibri"/>
          <w:sz w:val="24"/>
          <w:szCs w:val="24"/>
        </w:rPr>
        <w:t>ation o</w:t>
      </w:r>
      <w:r w:rsidRPr="007D60ED">
        <w:rPr>
          <w:rFonts w:cs="Calibri"/>
          <w:sz w:val="24"/>
          <w:szCs w:val="24"/>
        </w:rPr>
        <w:t xml:space="preserve">f TBRA assistance to </w:t>
      </w:r>
      <w:r w:rsidR="00AF60EF">
        <w:rPr>
          <w:rFonts w:cs="Calibri"/>
          <w:sz w:val="24"/>
          <w:szCs w:val="24"/>
        </w:rPr>
        <w:t>a</w:t>
      </w:r>
      <w:r w:rsidRPr="007D60ED">
        <w:rPr>
          <w:rFonts w:cs="Calibri"/>
          <w:sz w:val="24"/>
          <w:szCs w:val="24"/>
        </w:rPr>
        <w:t xml:space="preserve"> household if certain conditions are met.  Use this checklist as a guide to ensure all required documentation is submitted </w:t>
      </w:r>
      <w:proofErr w:type="gramStart"/>
      <w:r w:rsidRPr="007D60ED">
        <w:rPr>
          <w:rFonts w:cs="Calibri"/>
          <w:sz w:val="24"/>
          <w:szCs w:val="24"/>
        </w:rPr>
        <w:t>in order to</w:t>
      </w:r>
      <w:proofErr w:type="gramEnd"/>
      <w:r w:rsidRPr="007D60ED">
        <w:rPr>
          <w:rFonts w:cs="Calibri"/>
          <w:sz w:val="24"/>
          <w:szCs w:val="24"/>
        </w:rPr>
        <w:t xml:space="preserve"> apply for the </w:t>
      </w:r>
      <w:r w:rsidR="00AF60EF">
        <w:rPr>
          <w:rFonts w:cs="Calibri"/>
          <w:sz w:val="24"/>
          <w:szCs w:val="24"/>
        </w:rPr>
        <w:t>extension</w:t>
      </w:r>
      <w:r w:rsidRPr="007D60ED">
        <w:rPr>
          <w:rFonts w:cs="Calibri"/>
          <w:sz w:val="24"/>
          <w:szCs w:val="24"/>
        </w:rPr>
        <w:t xml:space="preserve">. </w:t>
      </w:r>
      <w:r w:rsidR="008D001E" w:rsidRPr="007D60ED">
        <w:rPr>
          <w:rFonts w:cs="TTE1BAE340t00"/>
          <w:sz w:val="24"/>
          <w:szCs w:val="24"/>
        </w:rPr>
        <w:t xml:space="preserve"> TDHCA may request additional support documentation other than what is listed below.  Should support docum</w:t>
      </w:r>
      <w:r w:rsidR="008F6612" w:rsidRPr="007D60ED">
        <w:rPr>
          <w:rFonts w:cs="TTE1BAE340t00"/>
          <w:sz w:val="24"/>
          <w:szCs w:val="24"/>
        </w:rPr>
        <w:t xml:space="preserve">ents be insufficient, the </w:t>
      </w:r>
      <w:r w:rsidR="008D001E" w:rsidRPr="007D60ED">
        <w:rPr>
          <w:rFonts w:cs="TTE1BAE340t00"/>
          <w:sz w:val="24"/>
          <w:szCs w:val="24"/>
        </w:rPr>
        <w:t xml:space="preserve">Request will be placed into “Deficiency” status and a Deficiency Letter will be issued allowing the CA to submit corrections during the next </w:t>
      </w:r>
      <w:r w:rsidR="003F4D3C" w:rsidRPr="007D60ED">
        <w:rPr>
          <w:rFonts w:cs="TTE1BAE340t00"/>
          <w:sz w:val="24"/>
          <w:szCs w:val="24"/>
        </w:rPr>
        <w:t>14 calendar</w:t>
      </w:r>
      <w:r w:rsidR="008D001E" w:rsidRPr="007D60ED">
        <w:rPr>
          <w:rFonts w:cs="TTE1BAE340t00"/>
          <w:sz w:val="24"/>
          <w:szCs w:val="24"/>
        </w:rPr>
        <w:t xml:space="preserve"> days. If deficiencies remain unsolved a</w:t>
      </w:r>
      <w:r w:rsidR="008F6612" w:rsidRPr="007D60ED">
        <w:rPr>
          <w:rFonts w:cs="TTE1BAE340t00"/>
          <w:sz w:val="24"/>
          <w:szCs w:val="24"/>
        </w:rPr>
        <w:t xml:space="preserve">fter the time given, the </w:t>
      </w:r>
      <w:r w:rsidR="008D001E" w:rsidRPr="007D60ED">
        <w:rPr>
          <w:rFonts w:cs="TTE1BAE340t00"/>
          <w:sz w:val="24"/>
          <w:szCs w:val="24"/>
        </w:rPr>
        <w:t>Request will be disapproved. It is the responsibility of the CA to follow-up on all Requests that have been placed in “Deficiency” or “Disapproved” status.</w:t>
      </w:r>
    </w:p>
    <w:p w14:paraId="775F82F4" w14:textId="77777777" w:rsidR="00FB7309" w:rsidRPr="007D60ED" w:rsidRDefault="00FB7309" w:rsidP="008D001E">
      <w:pPr>
        <w:autoSpaceDE w:val="0"/>
        <w:autoSpaceDN w:val="0"/>
        <w:adjustRightInd w:val="0"/>
        <w:spacing w:after="0" w:line="240" w:lineRule="auto"/>
        <w:ind w:left="-720"/>
        <w:rPr>
          <w:rFonts w:cs="TTE1BAE340t00"/>
          <w:sz w:val="24"/>
          <w:szCs w:val="24"/>
        </w:rPr>
      </w:pPr>
    </w:p>
    <w:p w14:paraId="17D433B4" w14:textId="77777777" w:rsidR="007D60ED" w:rsidRPr="007D60ED" w:rsidRDefault="007D60ED" w:rsidP="008D001E">
      <w:pPr>
        <w:autoSpaceDE w:val="0"/>
        <w:autoSpaceDN w:val="0"/>
        <w:adjustRightInd w:val="0"/>
        <w:spacing w:after="0" w:line="240" w:lineRule="auto"/>
        <w:ind w:left="-720"/>
        <w:rPr>
          <w:rFonts w:cs="TTE1BAE340t00"/>
          <w:sz w:val="24"/>
          <w:szCs w:val="24"/>
        </w:rPr>
      </w:pPr>
    </w:p>
    <w:p w14:paraId="4CAB3BFB" w14:textId="77777777" w:rsidR="007D60ED" w:rsidRPr="007D60ED" w:rsidRDefault="007D60ED" w:rsidP="008D001E">
      <w:pPr>
        <w:autoSpaceDE w:val="0"/>
        <w:autoSpaceDN w:val="0"/>
        <w:adjustRightInd w:val="0"/>
        <w:spacing w:after="0" w:line="240" w:lineRule="auto"/>
        <w:ind w:left="-720"/>
        <w:rPr>
          <w:rFonts w:cs="TTE1BAE340t00"/>
          <w:sz w:val="24"/>
          <w:szCs w:val="24"/>
        </w:rPr>
      </w:pPr>
    </w:p>
    <w:p w14:paraId="262FD57C" w14:textId="788E8508" w:rsidR="00FB7309" w:rsidRPr="007D60ED" w:rsidRDefault="00FB7309" w:rsidP="00FB7309">
      <w:pPr>
        <w:autoSpaceDE w:val="0"/>
        <w:autoSpaceDN w:val="0"/>
        <w:adjustRightInd w:val="0"/>
        <w:spacing w:after="0" w:line="240" w:lineRule="auto"/>
        <w:ind w:left="-720"/>
        <w:rPr>
          <w:rFonts w:cs="TTE1BAE340t00"/>
          <w:b/>
          <w:sz w:val="24"/>
          <w:szCs w:val="24"/>
        </w:rPr>
      </w:pPr>
      <w:r w:rsidRPr="007D60ED">
        <w:rPr>
          <w:rFonts w:cs="TTE1BAE340t00"/>
          <w:b/>
          <w:sz w:val="24"/>
          <w:szCs w:val="24"/>
        </w:rPr>
        <w:t>VERIFY ACCURACY OF THE FOLLOWING SUPPORT DOC</w:t>
      </w:r>
      <w:r w:rsidR="008F6612" w:rsidRPr="007D60ED">
        <w:rPr>
          <w:rFonts w:cs="TTE1BAE340t00"/>
          <w:b/>
          <w:sz w:val="24"/>
          <w:szCs w:val="24"/>
        </w:rPr>
        <w:t xml:space="preserve">UMENTS. </w:t>
      </w:r>
    </w:p>
    <w:p w14:paraId="141DBFDB" w14:textId="77777777" w:rsidR="00A2019F" w:rsidRPr="007D60ED" w:rsidRDefault="00A2019F" w:rsidP="00FB7309">
      <w:pPr>
        <w:autoSpaceDE w:val="0"/>
        <w:autoSpaceDN w:val="0"/>
        <w:adjustRightInd w:val="0"/>
        <w:spacing w:after="0" w:line="240" w:lineRule="auto"/>
        <w:ind w:left="-720"/>
        <w:rPr>
          <w:rFonts w:cs="TTE1BAE340t00"/>
          <w:b/>
          <w:sz w:val="24"/>
          <w:szCs w:val="24"/>
        </w:rPr>
        <w:sectPr w:rsidR="00A2019F" w:rsidRPr="007D60ED" w:rsidSect="00C42272">
          <w:headerReference w:type="default" r:id="rId8"/>
          <w:footerReference w:type="default" r:id="rId9"/>
          <w:pgSz w:w="12240" w:h="15840"/>
          <w:pgMar w:top="720" w:right="1440" w:bottom="432" w:left="1440" w:header="720" w:footer="120" w:gutter="0"/>
          <w:cols w:space="720"/>
          <w:formProt w:val="0"/>
          <w:docGrid w:linePitch="360"/>
        </w:sectPr>
      </w:pPr>
    </w:p>
    <w:p w14:paraId="5455E4D0" w14:textId="77777777" w:rsidR="00FB7309" w:rsidRPr="007D60ED" w:rsidRDefault="00FB7309" w:rsidP="00FB7309">
      <w:pPr>
        <w:autoSpaceDE w:val="0"/>
        <w:autoSpaceDN w:val="0"/>
        <w:adjustRightInd w:val="0"/>
        <w:spacing w:after="0" w:line="240" w:lineRule="auto"/>
        <w:ind w:left="-720"/>
        <w:rPr>
          <w:rFonts w:cs="TTE1BAE340t00"/>
          <w:b/>
          <w:sz w:val="24"/>
          <w:szCs w:val="24"/>
        </w:rPr>
      </w:pPr>
    </w:p>
    <w:p w14:paraId="7E37D880" w14:textId="7B046658" w:rsidR="00A11FFE" w:rsidRPr="007D60ED" w:rsidRDefault="00D120F0" w:rsidP="00A11FFE">
      <w:pPr>
        <w:tabs>
          <w:tab w:val="left" w:pos="-720"/>
          <w:tab w:val="left" w:pos="90"/>
        </w:tabs>
        <w:ind w:left="-450"/>
        <w:jc w:val="both"/>
        <w:rPr>
          <w:b/>
          <w:sz w:val="24"/>
          <w:szCs w:val="24"/>
        </w:rPr>
      </w:pPr>
      <w:r w:rsidRPr="007D60ED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Input the correct services rendered date into the Housing Contact System"/>
            <w:checkBox>
              <w:sizeAuto/>
              <w:default w:val="0"/>
              <w:checked w:val="0"/>
            </w:checkBox>
          </w:ffData>
        </w:fldChar>
      </w:r>
      <w:r w:rsidR="00A2019F" w:rsidRPr="007D60ED">
        <w:rPr>
          <w:sz w:val="24"/>
          <w:szCs w:val="24"/>
        </w:rPr>
        <w:instrText xml:space="preserve"> FORMCHECKBOX </w:instrText>
      </w:r>
      <w:r w:rsidR="005A72FC">
        <w:rPr>
          <w:sz w:val="24"/>
          <w:szCs w:val="24"/>
        </w:rPr>
      </w:r>
      <w:r w:rsidR="005A72FC">
        <w:rPr>
          <w:sz w:val="24"/>
          <w:szCs w:val="24"/>
        </w:rPr>
        <w:fldChar w:fldCharType="separate"/>
      </w:r>
      <w:r w:rsidRPr="007D60ED">
        <w:rPr>
          <w:sz w:val="24"/>
          <w:szCs w:val="24"/>
        </w:rPr>
        <w:fldChar w:fldCharType="end"/>
      </w:r>
      <w:r w:rsidR="00A11FFE" w:rsidRPr="007D60ED">
        <w:rPr>
          <w:sz w:val="24"/>
          <w:szCs w:val="24"/>
        </w:rPr>
        <w:t xml:space="preserve">  </w:t>
      </w:r>
      <w:r w:rsidR="002D6605" w:rsidRPr="007D60ED">
        <w:rPr>
          <w:rFonts w:cs="Calibri"/>
          <w:sz w:val="24"/>
          <w:szCs w:val="24"/>
        </w:rPr>
        <w:t>All adult members of the Household are Persons with Disabilities as shown by Benefit statements and/or Verification of Disability</w:t>
      </w:r>
    </w:p>
    <w:p w14:paraId="5DA10A1F" w14:textId="7C3C30A5" w:rsidR="00F86C40" w:rsidRPr="007D60ED" w:rsidRDefault="00F86C40" w:rsidP="00F86C40">
      <w:pPr>
        <w:tabs>
          <w:tab w:val="left" w:pos="-720"/>
          <w:tab w:val="left" w:pos="90"/>
        </w:tabs>
        <w:ind w:left="-450"/>
        <w:jc w:val="both"/>
        <w:rPr>
          <w:rFonts w:cs="Calibri"/>
          <w:sz w:val="24"/>
          <w:szCs w:val="24"/>
        </w:rPr>
      </w:pPr>
      <w:r w:rsidRPr="007D60ED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Input the correct services rendered date into the Housing Contact System"/>
            <w:checkBox>
              <w:sizeAuto/>
              <w:default w:val="0"/>
              <w:checked w:val="0"/>
            </w:checkBox>
          </w:ffData>
        </w:fldChar>
      </w:r>
      <w:r w:rsidRPr="007D60ED">
        <w:rPr>
          <w:sz w:val="24"/>
          <w:szCs w:val="24"/>
        </w:rPr>
        <w:instrText xml:space="preserve"> FORMCHECKBOX </w:instrText>
      </w:r>
      <w:r w:rsidR="005A72FC">
        <w:rPr>
          <w:sz w:val="24"/>
          <w:szCs w:val="24"/>
        </w:rPr>
      </w:r>
      <w:r w:rsidR="005A72FC">
        <w:rPr>
          <w:sz w:val="24"/>
          <w:szCs w:val="24"/>
        </w:rPr>
        <w:fldChar w:fldCharType="separate"/>
      </w:r>
      <w:r w:rsidRPr="007D60ED">
        <w:rPr>
          <w:sz w:val="24"/>
          <w:szCs w:val="24"/>
        </w:rPr>
        <w:fldChar w:fldCharType="end"/>
      </w:r>
      <w:r w:rsidRPr="007D60ED">
        <w:rPr>
          <w:sz w:val="24"/>
          <w:szCs w:val="24"/>
        </w:rPr>
        <w:t xml:space="preserve">  </w:t>
      </w:r>
      <w:r w:rsidRPr="007D60ED">
        <w:rPr>
          <w:rFonts w:cs="Calibri"/>
          <w:sz w:val="24"/>
          <w:szCs w:val="24"/>
        </w:rPr>
        <w:t xml:space="preserve">Household income from employment does not exceed the current Substantial Gainful Activity Level as defined by the Social Security Administration as shown by income documents.  Visit </w:t>
      </w:r>
      <w:hyperlink r:id="rId10" w:history="1">
        <w:r w:rsidRPr="007D60ED">
          <w:rPr>
            <w:rStyle w:val="Hyperlink"/>
            <w:rFonts w:cs="Calibri"/>
            <w:sz w:val="24"/>
            <w:szCs w:val="24"/>
          </w:rPr>
          <w:t>https://www.ssa.gov/oact/cola/sga.html</w:t>
        </w:r>
      </w:hyperlink>
      <w:r w:rsidRPr="007D60ED">
        <w:rPr>
          <w:rFonts w:cs="Calibri"/>
          <w:sz w:val="24"/>
          <w:szCs w:val="24"/>
        </w:rPr>
        <w:t xml:space="preserve"> and save a copy of the page to the file.</w:t>
      </w:r>
    </w:p>
    <w:p w14:paraId="273F377B" w14:textId="32B05405" w:rsidR="00F86C40" w:rsidRPr="007D60ED" w:rsidRDefault="00D120F0" w:rsidP="007D60ED">
      <w:pPr>
        <w:autoSpaceDE w:val="0"/>
        <w:autoSpaceDN w:val="0"/>
        <w:adjustRightInd w:val="0"/>
        <w:ind w:left="-450"/>
        <w:rPr>
          <w:rFonts w:cs="Calibri"/>
          <w:sz w:val="24"/>
          <w:szCs w:val="24"/>
        </w:rPr>
      </w:pPr>
      <w:r w:rsidRPr="007D60ED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Submit utility deposit support documentation, if the draw request includes a reimbursement for a utility deposit "/>
            <w:checkBox>
              <w:sizeAuto/>
              <w:default w:val="0"/>
            </w:checkBox>
          </w:ffData>
        </w:fldChar>
      </w:r>
      <w:r w:rsidR="00A2019F" w:rsidRPr="007D60ED">
        <w:rPr>
          <w:sz w:val="24"/>
          <w:szCs w:val="24"/>
        </w:rPr>
        <w:instrText xml:space="preserve"> FORMCHECKBOX </w:instrText>
      </w:r>
      <w:r w:rsidR="005A72FC">
        <w:rPr>
          <w:sz w:val="24"/>
          <w:szCs w:val="24"/>
        </w:rPr>
      </w:r>
      <w:r w:rsidR="005A72FC">
        <w:rPr>
          <w:sz w:val="24"/>
          <w:szCs w:val="24"/>
        </w:rPr>
        <w:fldChar w:fldCharType="separate"/>
      </w:r>
      <w:r w:rsidRPr="007D60ED">
        <w:rPr>
          <w:sz w:val="24"/>
          <w:szCs w:val="24"/>
        </w:rPr>
        <w:fldChar w:fldCharType="end"/>
      </w:r>
      <w:r w:rsidR="00761FD8" w:rsidRPr="007D60ED">
        <w:rPr>
          <w:sz w:val="24"/>
          <w:szCs w:val="24"/>
        </w:rPr>
        <w:t xml:space="preserve">  </w:t>
      </w:r>
      <w:r w:rsidR="007D60ED" w:rsidRPr="007D60ED">
        <w:rPr>
          <w:sz w:val="24"/>
          <w:szCs w:val="24"/>
        </w:rPr>
        <w:t>M</w:t>
      </w:r>
      <w:r w:rsidR="00F86C40" w:rsidRPr="007D60ED">
        <w:rPr>
          <w:sz w:val="24"/>
          <w:szCs w:val="24"/>
        </w:rPr>
        <w:t xml:space="preserve">ore than </w:t>
      </w:r>
      <w:r w:rsidR="00F86C40" w:rsidRPr="007D60ED">
        <w:rPr>
          <w:rFonts w:cs="Calibri"/>
          <w:sz w:val="24"/>
          <w:szCs w:val="24"/>
        </w:rPr>
        <w:t>50% of Household Income is benefits paid to the Household from Social Security or any other benefit payment received due to a member’s status as a Person with a Disability as shown by income documents</w:t>
      </w:r>
      <w:r w:rsidR="007D60ED" w:rsidRPr="007D60ED">
        <w:rPr>
          <w:rFonts w:cs="Calibri"/>
          <w:sz w:val="24"/>
          <w:szCs w:val="24"/>
        </w:rPr>
        <w:t>.</w:t>
      </w:r>
    </w:p>
    <w:p w14:paraId="36BB5335" w14:textId="1A6443DC" w:rsidR="00B532C2" w:rsidRPr="007D60ED" w:rsidRDefault="00D120F0" w:rsidP="003E70B2">
      <w:pPr>
        <w:ind w:hanging="450"/>
        <w:jc w:val="both"/>
        <w:rPr>
          <w:b/>
          <w:sz w:val="24"/>
          <w:szCs w:val="24"/>
        </w:rPr>
      </w:pPr>
      <w:r w:rsidRPr="007D60ED">
        <w:rPr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If the draw request includes a reimbursement request for a security deposit, ensure the requested amount reconciles to the approved deposit amount recorded in the Housing Contract System"/>
            <w:checkBox>
              <w:sizeAuto/>
              <w:default w:val="0"/>
            </w:checkBox>
          </w:ffData>
        </w:fldChar>
      </w:r>
      <w:r w:rsidR="00A2019F" w:rsidRPr="007D60ED">
        <w:rPr>
          <w:sz w:val="24"/>
          <w:szCs w:val="24"/>
        </w:rPr>
        <w:instrText xml:space="preserve"> FORMCHECKBOX </w:instrText>
      </w:r>
      <w:r w:rsidR="005A72FC">
        <w:rPr>
          <w:sz w:val="24"/>
          <w:szCs w:val="24"/>
        </w:rPr>
      </w:r>
      <w:r w:rsidR="005A72FC">
        <w:rPr>
          <w:sz w:val="24"/>
          <w:szCs w:val="24"/>
        </w:rPr>
        <w:fldChar w:fldCharType="separate"/>
      </w:r>
      <w:r w:rsidRPr="007D60ED">
        <w:rPr>
          <w:sz w:val="24"/>
          <w:szCs w:val="24"/>
        </w:rPr>
        <w:fldChar w:fldCharType="end"/>
      </w:r>
      <w:r w:rsidR="00761FD8" w:rsidRPr="007D60ED">
        <w:rPr>
          <w:sz w:val="24"/>
          <w:szCs w:val="24"/>
        </w:rPr>
        <w:t xml:space="preserve">  </w:t>
      </w:r>
      <w:r w:rsidR="00F86C40" w:rsidRPr="007D60ED">
        <w:rPr>
          <w:rFonts w:cs="Calibri"/>
          <w:sz w:val="24"/>
          <w:szCs w:val="24"/>
        </w:rPr>
        <w:t>Household’s gross monthly income does not exceed 50% AMFI as shown by income documents</w:t>
      </w:r>
      <w:r w:rsidR="007D60ED" w:rsidRPr="007D60ED">
        <w:rPr>
          <w:rFonts w:cs="Calibri"/>
          <w:sz w:val="24"/>
          <w:szCs w:val="24"/>
        </w:rPr>
        <w:t>.</w:t>
      </w:r>
    </w:p>
    <w:p w14:paraId="4B73EFEB" w14:textId="138C18BB" w:rsidR="00FB7309" w:rsidRDefault="00D120F0" w:rsidP="003E70B2">
      <w:pPr>
        <w:ind w:hanging="450"/>
        <w:rPr>
          <w:sz w:val="24"/>
          <w:szCs w:val="24"/>
        </w:rPr>
      </w:pPr>
      <w:r w:rsidRPr="007D60ED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If the remaining amount of the budget is being requested with the draw, and assistance is for more than twelve months a recertification must be submitted and approved before all funds are requested"/>
            <w:checkBox>
              <w:sizeAuto/>
              <w:default w:val="0"/>
            </w:checkBox>
          </w:ffData>
        </w:fldChar>
      </w:r>
      <w:r w:rsidR="00A2019F" w:rsidRPr="007D60ED">
        <w:rPr>
          <w:b/>
          <w:sz w:val="24"/>
          <w:szCs w:val="24"/>
        </w:rPr>
        <w:instrText xml:space="preserve"> FORMCHECKBOX </w:instrText>
      </w:r>
      <w:r w:rsidR="005A72FC">
        <w:rPr>
          <w:b/>
          <w:sz w:val="24"/>
          <w:szCs w:val="24"/>
        </w:rPr>
      </w:r>
      <w:r w:rsidR="005A72FC">
        <w:rPr>
          <w:b/>
          <w:sz w:val="24"/>
          <w:szCs w:val="24"/>
        </w:rPr>
        <w:fldChar w:fldCharType="separate"/>
      </w:r>
      <w:r w:rsidRPr="007D60ED">
        <w:rPr>
          <w:b/>
          <w:sz w:val="24"/>
          <w:szCs w:val="24"/>
        </w:rPr>
        <w:fldChar w:fldCharType="end"/>
      </w:r>
      <w:r w:rsidR="00761FD8" w:rsidRPr="007D60ED">
        <w:rPr>
          <w:b/>
          <w:sz w:val="24"/>
          <w:szCs w:val="24"/>
        </w:rPr>
        <w:t xml:space="preserve"> </w:t>
      </w:r>
      <w:r w:rsidR="00A11FFE" w:rsidRPr="007D60ED">
        <w:rPr>
          <w:b/>
          <w:sz w:val="24"/>
          <w:szCs w:val="24"/>
        </w:rPr>
        <w:t xml:space="preserve"> </w:t>
      </w:r>
      <w:r w:rsidR="00F86C40" w:rsidRPr="007D60ED">
        <w:rPr>
          <w:sz w:val="24"/>
          <w:szCs w:val="24"/>
        </w:rPr>
        <w:t>Household’s circumstances are not expected to change during the term of assistance.</w:t>
      </w:r>
    </w:p>
    <w:p w14:paraId="23FA4DD9" w14:textId="77777777" w:rsidR="00590A58" w:rsidRDefault="00590A58" w:rsidP="003E70B2">
      <w:pPr>
        <w:ind w:hanging="450"/>
        <w:rPr>
          <w:sz w:val="24"/>
          <w:szCs w:val="24"/>
        </w:rPr>
      </w:pPr>
    </w:p>
    <w:p w14:paraId="33515A87" w14:textId="1ADC08D6" w:rsidR="00590A58" w:rsidRDefault="00366EFE" w:rsidP="003E70B2">
      <w:pPr>
        <w:ind w:hanging="450"/>
        <w:rPr>
          <w:sz w:val="24"/>
          <w:szCs w:val="24"/>
        </w:rPr>
      </w:pPr>
      <w:r>
        <w:rPr>
          <w:sz w:val="24"/>
          <w:szCs w:val="24"/>
        </w:rPr>
        <w:t>__________________________ __________</w:t>
      </w:r>
    </w:p>
    <w:p w14:paraId="60207666" w14:textId="53640CB1" w:rsidR="00590A58" w:rsidRPr="007D60ED" w:rsidRDefault="00366EFE" w:rsidP="003E70B2">
      <w:pPr>
        <w:ind w:hanging="450"/>
        <w:rPr>
          <w:sz w:val="24"/>
          <w:szCs w:val="24"/>
        </w:rPr>
      </w:pPr>
      <w:r>
        <w:rPr>
          <w:sz w:val="24"/>
          <w:szCs w:val="24"/>
        </w:rPr>
        <w:t>Administrators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tbl>
      <w:tblPr>
        <w:tblpPr w:leftFromText="180" w:rightFromText="180" w:vertAnchor="text" w:horzAnchor="page" w:tblpX="709" w:tblpY="325"/>
        <w:tblW w:w="1023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8615"/>
        <w:gridCol w:w="793"/>
      </w:tblGrid>
      <w:tr w:rsidR="00590A58" w:rsidRPr="00C10D23" w14:paraId="21F66F92" w14:textId="77777777" w:rsidTr="00590A58">
        <w:trPr>
          <w:trHeight w:val="662"/>
        </w:trPr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1C166391" w14:textId="77777777" w:rsidR="00590A58" w:rsidRPr="00C10D23" w:rsidRDefault="00590A58" w:rsidP="00590A58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</w:tr>
      <w:tr w:rsidR="00590A58" w:rsidRPr="00C10D23" w14:paraId="249FAE58" w14:textId="77777777" w:rsidTr="00590A58">
        <w:trPr>
          <w:trHeight w:val="897"/>
        </w:trPr>
        <w:tc>
          <w:tcPr>
            <w:tcW w:w="0" w:type="auto"/>
            <w:tcBorders>
              <w:right w:val="nil"/>
            </w:tcBorders>
            <w:vAlign w:val="center"/>
          </w:tcPr>
          <w:p w14:paraId="0622E8DE" w14:textId="77777777" w:rsidR="00590A58" w:rsidRPr="00C10D23" w:rsidRDefault="00590A58" w:rsidP="00590A58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CF01A92" wp14:editId="42381A25">
                  <wp:extent cx="373380" cy="373380"/>
                  <wp:effectExtent l="0" t="0" r="0" b="0"/>
                  <wp:docPr id="5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044C424D" w14:textId="77777777" w:rsidR="00590A58" w:rsidRPr="00C10D23" w:rsidRDefault="00590A58" w:rsidP="00590A58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Street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7C98398B" w14:textId="77777777" w:rsidR="00590A58" w:rsidRPr="00C10D23" w:rsidRDefault="00590A58" w:rsidP="00590A58">
            <w:pPr>
              <w:pStyle w:val="TDHCAfooter"/>
            </w:pPr>
            <w:r w:rsidRPr="00C10D23">
              <w:t xml:space="preserve">Street Address: 221 East 11th Street, Austin, TX </w:t>
            </w:r>
            <w:proofErr w:type="gramStart"/>
            <w:r w:rsidRPr="00C10D23">
              <w:t>78701  Mailing</w:t>
            </w:r>
            <w:proofErr w:type="gramEnd"/>
            <w:r w:rsidRPr="00C10D23">
              <w:t xml:space="preserve"> Address: PO Box 13941, Austin, TX 78711</w:t>
            </w:r>
          </w:p>
          <w:p w14:paraId="76E484D3" w14:textId="77777777" w:rsidR="00590A58" w:rsidRPr="00C10D23" w:rsidRDefault="00590A58" w:rsidP="00590A58">
            <w:pPr>
              <w:pStyle w:val="TDHCAfooter"/>
            </w:pPr>
            <w:r w:rsidRPr="00C10D23">
              <w:t>Main Number: 512-475-</w:t>
            </w:r>
            <w:proofErr w:type="gramStart"/>
            <w:r w:rsidRPr="00C10D23">
              <w:t>3800  Toll</w:t>
            </w:r>
            <w:proofErr w:type="gramEnd"/>
            <w:r w:rsidRPr="00C10D23">
              <w:t xml:space="preserve"> Free: 1-800-525-0657  Email: info@tdhca.</w:t>
            </w:r>
            <w:r>
              <w:t>texas.gov</w:t>
            </w:r>
            <w:r w:rsidRPr="00C10D23">
              <w:t xml:space="preserve">  Web: www.tdhca.</w:t>
            </w:r>
            <w:r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7C89242" w14:textId="77777777" w:rsidR="00590A58" w:rsidRPr="00C10D23" w:rsidRDefault="00590A58" w:rsidP="00590A58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drawing>
                <wp:inline distT="0" distB="0" distL="0" distR="0" wp14:anchorId="7D4FE5BD" wp14:editId="7D2D7DDD">
                  <wp:extent cx="350520" cy="373380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75AE3" w14:textId="77777777" w:rsidR="008D001E" w:rsidRDefault="008D001E" w:rsidP="00590A58">
      <w:pPr>
        <w:rPr>
          <w:b/>
          <w:color w:val="00B050"/>
          <w:sz w:val="24"/>
          <w:szCs w:val="24"/>
        </w:rPr>
      </w:pPr>
    </w:p>
    <w:sectPr w:rsidR="008D001E" w:rsidSect="00C42272">
      <w:type w:val="continuous"/>
      <w:pgSz w:w="12240" w:h="15840"/>
      <w:pgMar w:top="720" w:right="1440" w:bottom="720" w:left="144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FFF7" w14:textId="77777777" w:rsidR="00BE5398" w:rsidRDefault="00BE5398" w:rsidP="00C609CE">
      <w:pPr>
        <w:spacing w:after="0" w:line="240" w:lineRule="auto"/>
      </w:pPr>
      <w:r>
        <w:separator/>
      </w:r>
    </w:p>
  </w:endnote>
  <w:endnote w:type="continuationSeparator" w:id="0">
    <w:p w14:paraId="71E10944" w14:textId="77777777" w:rsidR="00BE5398" w:rsidRDefault="00BE5398" w:rsidP="00C6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B2A2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BAE340t00">
    <w:altName w:val="TT E 1 BA E 34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3A22" w14:textId="77777777" w:rsidR="00C42272" w:rsidRPr="004A745A" w:rsidRDefault="00C42272" w:rsidP="00C42272">
    <w:pPr>
      <w:pStyle w:val="Footer"/>
      <w:tabs>
        <w:tab w:val="clear" w:pos="9360"/>
      </w:tabs>
      <w:ind w:right="-450"/>
      <w:rPr>
        <w:rStyle w:val="PageNumber"/>
        <w:sz w:val="20"/>
        <w:szCs w:val="20"/>
      </w:rPr>
    </w:pPr>
    <w:r w:rsidRPr="004A745A">
      <w:rPr>
        <w:sz w:val="20"/>
        <w:szCs w:val="20"/>
      </w:rPr>
      <w:t>TDHCA - HOME Investment Partnerships Program</w:t>
    </w:r>
    <w:r w:rsidRPr="004A745A">
      <w:rPr>
        <w:sz w:val="20"/>
        <w:szCs w:val="20"/>
      </w:rPr>
      <w:tab/>
      <w:t xml:space="preserve">                                                                            </w:t>
    </w:r>
    <w:r>
      <w:rPr>
        <w:sz w:val="20"/>
        <w:szCs w:val="20"/>
      </w:rPr>
      <w:t xml:space="preserve">                                </w:t>
    </w:r>
    <w:r w:rsidRPr="004A745A">
      <w:rPr>
        <w:sz w:val="20"/>
        <w:szCs w:val="20"/>
      </w:rPr>
      <w:t xml:space="preserve">Page </w:t>
    </w:r>
    <w:r w:rsidRPr="004A745A">
      <w:rPr>
        <w:rStyle w:val="PageNumber"/>
        <w:sz w:val="20"/>
        <w:szCs w:val="20"/>
      </w:rPr>
      <w:fldChar w:fldCharType="begin"/>
    </w:r>
    <w:r w:rsidRPr="004A745A">
      <w:rPr>
        <w:rStyle w:val="PageNumber"/>
        <w:sz w:val="20"/>
        <w:szCs w:val="20"/>
      </w:rPr>
      <w:instrText xml:space="preserve"> PAGE </w:instrText>
    </w:r>
    <w:r w:rsidRPr="004A745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A745A">
      <w:rPr>
        <w:rStyle w:val="PageNumber"/>
        <w:sz w:val="20"/>
        <w:szCs w:val="20"/>
      </w:rPr>
      <w:fldChar w:fldCharType="end"/>
    </w:r>
    <w:r w:rsidRPr="004A745A">
      <w:rPr>
        <w:rStyle w:val="PageNumber"/>
        <w:sz w:val="20"/>
        <w:szCs w:val="20"/>
      </w:rPr>
      <w:t xml:space="preserve"> of</w:t>
    </w:r>
    <w:r>
      <w:rPr>
        <w:rStyle w:val="PageNumber"/>
        <w:sz w:val="20"/>
        <w:szCs w:val="20"/>
      </w:rPr>
      <w:t xml:space="preserve"> 1</w:t>
    </w:r>
  </w:p>
  <w:p w14:paraId="3546EFE3" w14:textId="3A2DDAD4" w:rsidR="00C42272" w:rsidRPr="004A745A" w:rsidRDefault="00C42272" w:rsidP="00C42272">
    <w:pPr>
      <w:pStyle w:val="Footer"/>
      <w:tabs>
        <w:tab w:val="clear" w:pos="9360"/>
        <w:tab w:val="right" w:pos="9810"/>
      </w:tabs>
      <w:rPr>
        <w:sz w:val="20"/>
        <w:szCs w:val="20"/>
      </w:rPr>
    </w:pPr>
    <w:r>
      <w:rPr>
        <w:sz w:val="20"/>
        <w:szCs w:val="20"/>
      </w:rPr>
      <w:t>TBRA</w:t>
    </w:r>
    <w:r w:rsidRPr="004A745A">
      <w:rPr>
        <w:sz w:val="20"/>
        <w:szCs w:val="20"/>
      </w:rPr>
      <w:t xml:space="preserve"> </w:t>
    </w:r>
    <w:r w:rsidR="0031256A">
      <w:rPr>
        <w:sz w:val="20"/>
        <w:szCs w:val="20"/>
      </w:rPr>
      <w:t xml:space="preserve">60 Month </w:t>
    </w:r>
    <w:r w:rsidR="005A72FC">
      <w:rPr>
        <w:sz w:val="20"/>
        <w:szCs w:val="20"/>
      </w:rPr>
      <w:t>Exception</w:t>
    </w:r>
    <w:r w:rsidRPr="004A745A">
      <w:rPr>
        <w:sz w:val="20"/>
        <w:szCs w:val="20"/>
      </w:rPr>
      <w:t xml:space="preserve"> Checklist                          </w:t>
    </w:r>
    <w:r>
      <w:rPr>
        <w:sz w:val="20"/>
        <w:szCs w:val="20"/>
      </w:rPr>
      <w:t xml:space="preserve">                               </w:t>
    </w:r>
    <w:r w:rsidRPr="004A745A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 xml:space="preserve">     </w:t>
    </w:r>
    <w:r w:rsidRPr="004A745A">
      <w:rPr>
        <w:rStyle w:val="PageNumber"/>
        <w:sz w:val="20"/>
        <w:szCs w:val="20"/>
      </w:rPr>
      <w:t>March 20</w:t>
    </w:r>
    <w:r w:rsidR="003F4D3C">
      <w:rPr>
        <w:rStyle w:val="PageNumber"/>
        <w:sz w:val="20"/>
        <w:szCs w:val="20"/>
      </w:rPr>
      <w:t>25</w:t>
    </w:r>
  </w:p>
  <w:p w14:paraId="7D6DA084" w14:textId="77777777" w:rsidR="006D1C29" w:rsidRPr="00261D27" w:rsidRDefault="006D1C29" w:rsidP="008A054F">
    <w:pPr>
      <w:pStyle w:val="Footer"/>
      <w:pBdr>
        <w:top w:val="single" w:sz="4" w:space="1" w:color="D9D9D9"/>
      </w:pBdr>
      <w:tabs>
        <w:tab w:val="clear" w:pos="4680"/>
        <w:tab w:val="clear" w:pos="9360"/>
      </w:tabs>
    </w:pPr>
  </w:p>
  <w:p w14:paraId="71B3EBF9" w14:textId="77777777" w:rsidR="006D1C29" w:rsidRDefault="006D1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1DEE" w14:textId="77777777" w:rsidR="00BE5398" w:rsidRDefault="00BE5398" w:rsidP="00C609CE">
      <w:pPr>
        <w:spacing w:after="0" w:line="240" w:lineRule="auto"/>
      </w:pPr>
      <w:r>
        <w:separator/>
      </w:r>
    </w:p>
  </w:footnote>
  <w:footnote w:type="continuationSeparator" w:id="0">
    <w:p w14:paraId="1731972D" w14:textId="77777777" w:rsidR="00BE5398" w:rsidRDefault="00BE5398" w:rsidP="00C6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A29F" w14:textId="4A229AA6" w:rsidR="006D1C29" w:rsidRDefault="00C63DA3" w:rsidP="000B0966">
    <w:pPr>
      <w:pStyle w:val="Header"/>
      <w:ind w:hanging="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CBB260" wp14:editId="5D5CBF45">
              <wp:simplePos x="0" y="0"/>
              <wp:positionH relativeFrom="column">
                <wp:posOffset>1264285</wp:posOffset>
              </wp:positionH>
              <wp:positionV relativeFrom="paragraph">
                <wp:posOffset>-76200</wp:posOffset>
              </wp:positionV>
              <wp:extent cx="4667250" cy="726440"/>
              <wp:effectExtent l="6985" t="0" r="2540" b="698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49535" w14:textId="3E55B460" w:rsidR="00C42272" w:rsidRDefault="002D6605" w:rsidP="00C42272">
                          <w:pPr>
                            <w:spacing w:after="0"/>
                            <w:jc w:val="center"/>
                            <w:rPr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>
                            <w:rPr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 xml:space="preserve">TBRA 60 Month </w:t>
                          </w:r>
                          <w:r w:rsidR="00AF60EF">
                            <w:rPr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E</w:t>
                          </w:r>
                          <w:r w:rsidR="009359F6">
                            <w:rPr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x</w:t>
                          </w:r>
                          <w:r w:rsidR="005A72FC">
                            <w:rPr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ception</w:t>
                          </w:r>
                          <w:r w:rsidR="00C42272">
                            <w:rPr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 xml:space="preserve"> Checklist</w:t>
                          </w:r>
                        </w:p>
                        <w:p w14:paraId="0C5CD937" w14:textId="77777777" w:rsidR="00C42272" w:rsidRPr="00ED2DC0" w:rsidRDefault="00C42272" w:rsidP="00C42272">
                          <w:pPr>
                            <w:spacing w:after="0"/>
                            <w:jc w:val="center"/>
                            <w:rPr>
                              <w:i/>
                              <w:color w:val="C00000"/>
                              <w:sz w:val="24"/>
                              <w:szCs w:val="28"/>
                            </w:rPr>
                          </w:pPr>
                          <w:r>
                            <w:rPr>
                              <w:i/>
                              <w:color w:val="002060"/>
                              <w:sz w:val="24"/>
                              <w:szCs w:val="28"/>
                            </w:rPr>
                            <w:t>Tenant-Based Rental Assistance (TBRA)</w:t>
                          </w:r>
                        </w:p>
                        <w:p w14:paraId="6105C6FB" w14:textId="77777777" w:rsidR="00C42272" w:rsidRPr="009971EE" w:rsidRDefault="00C42272" w:rsidP="00C42272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14:paraId="35AF6745" w14:textId="77777777" w:rsidR="00C42272" w:rsidRPr="00A001E6" w:rsidRDefault="00C42272" w:rsidP="00C42272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BB2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9.55pt;margin-top:-6pt;width:367.5pt;height: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" stroked="f">
              <v:fill opacity="0"/>
              <v:textbox>
                <w:txbxContent>
                  <w:p w14:paraId="2F849535" w14:textId="3E55B460" w:rsidR="00C42272" w:rsidRDefault="002D6605" w:rsidP="00C42272">
                    <w:pPr>
                      <w:spacing w:after="0"/>
                      <w:jc w:val="center"/>
                      <w:rPr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>
                      <w:rPr>
                        <w:b/>
                        <w:smallCaps/>
                        <w:color w:val="002060"/>
                        <w:sz w:val="30"/>
                        <w:szCs w:val="28"/>
                      </w:rPr>
                      <w:t xml:space="preserve">TBRA 60 Month </w:t>
                    </w:r>
                    <w:r w:rsidR="00AF60EF">
                      <w:rPr>
                        <w:b/>
                        <w:smallCaps/>
                        <w:color w:val="002060"/>
                        <w:sz w:val="30"/>
                        <w:szCs w:val="28"/>
                      </w:rPr>
                      <w:t>E</w:t>
                    </w:r>
                    <w:r w:rsidR="009359F6">
                      <w:rPr>
                        <w:b/>
                        <w:smallCaps/>
                        <w:color w:val="002060"/>
                        <w:sz w:val="30"/>
                        <w:szCs w:val="28"/>
                      </w:rPr>
                      <w:t>x</w:t>
                    </w:r>
                    <w:r w:rsidR="005A72FC">
                      <w:rPr>
                        <w:b/>
                        <w:smallCaps/>
                        <w:color w:val="002060"/>
                        <w:sz w:val="30"/>
                        <w:szCs w:val="28"/>
                      </w:rPr>
                      <w:t>ception</w:t>
                    </w:r>
                    <w:r w:rsidR="00C42272">
                      <w:rPr>
                        <w:b/>
                        <w:smallCaps/>
                        <w:color w:val="002060"/>
                        <w:sz w:val="30"/>
                        <w:szCs w:val="28"/>
                      </w:rPr>
                      <w:t xml:space="preserve"> Checklist</w:t>
                    </w:r>
                  </w:p>
                  <w:p w14:paraId="0C5CD937" w14:textId="77777777" w:rsidR="00C42272" w:rsidRPr="00ED2DC0" w:rsidRDefault="00C42272" w:rsidP="00C42272">
                    <w:pPr>
                      <w:spacing w:after="0"/>
                      <w:jc w:val="center"/>
                      <w:rPr>
                        <w:i/>
                        <w:color w:val="C00000"/>
                        <w:sz w:val="24"/>
                        <w:szCs w:val="28"/>
                      </w:rPr>
                    </w:pPr>
                    <w:r>
                      <w:rPr>
                        <w:i/>
                        <w:color w:val="002060"/>
                        <w:sz w:val="24"/>
                        <w:szCs w:val="28"/>
                      </w:rPr>
                      <w:t>Tenant-Based Rental Assistance (TBRA)</w:t>
                    </w:r>
                  </w:p>
                  <w:p w14:paraId="6105C6FB" w14:textId="77777777" w:rsidR="00C42272" w:rsidRPr="009971EE" w:rsidRDefault="00C42272" w:rsidP="00C42272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14:paraId="35AF6745" w14:textId="77777777" w:rsidR="00C42272" w:rsidRPr="00A001E6" w:rsidRDefault="00C42272" w:rsidP="00C42272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AFCBAC2" wp14:editId="55DCCD22">
          <wp:extent cx="1685925" cy="6438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86E177" wp14:editId="73F653E2">
              <wp:simplePos x="0" y="0"/>
              <wp:positionH relativeFrom="column">
                <wp:posOffset>-480695</wp:posOffset>
              </wp:positionH>
              <wp:positionV relativeFrom="paragraph">
                <wp:posOffset>650240</wp:posOffset>
              </wp:positionV>
              <wp:extent cx="6905625" cy="54610"/>
              <wp:effectExtent l="5080" t="2540" r="444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B06BA8" id="Rectangle 3" o:spid="_x0000_s1026" style="position:absolute;margin-left:-37.85pt;margin-top:51.2pt;width:543.75pt;height: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" fillcolor="#1f497d" stroked="f">
              <v:fill opacity="52428f" color2="#0e223a" o:opacity2="0"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6CF"/>
    <w:multiLevelType w:val="hybridMultilevel"/>
    <w:tmpl w:val="B0BCCC46"/>
    <w:lvl w:ilvl="0" w:tplc="433CC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DCE"/>
    <w:multiLevelType w:val="hybridMultilevel"/>
    <w:tmpl w:val="1244184C"/>
    <w:lvl w:ilvl="0" w:tplc="C3BA69B8">
      <w:start w:val="1"/>
      <w:numFmt w:val="upperRoman"/>
      <w:lvlText w:val="%1."/>
      <w:lvlJc w:val="left"/>
      <w:pPr>
        <w:ind w:left="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387A5F1E"/>
    <w:multiLevelType w:val="hybridMultilevel"/>
    <w:tmpl w:val="AE76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0B3E"/>
    <w:multiLevelType w:val="hybridMultilevel"/>
    <w:tmpl w:val="FF3E98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FF076FB"/>
    <w:multiLevelType w:val="hybridMultilevel"/>
    <w:tmpl w:val="B0BCCC46"/>
    <w:lvl w:ilvl="0" w:tplc="433CC5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7002"/>
    <w:multiLevelType w:val="hybridMultilevel"/>
    <w:tmpl w:val="94E6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1103C"/>
    <w:multiLevelType w:val="hybridMultilevel"/>
    <w:tmpl w:val="F290019C"/>
    <w:lvl w:ilvl="0" w:tplc="C4E4F88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C3C23D8"/>
    <w:multiLevelType w:val="hybridMultilevel"/>
    <w:tmpl w:val="BF1AC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6356F"/>
    <w:multiLevelType w:val="hybridMultilevel"/>
    <w:tmpl w:val="DFB6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17465">
    <w:abstractNumId w:val="8"/>
  </w:num>
  <w:num w:numId="2" w16cid:durableId="411633682">
    <w:abstractNumId w:val="4"/>
  </w:num>
  <w:num w:numId="3" w16cid:durableId="1082533634">
    <w:abstractNumId w:val="6"/>
  </w:num>
  <w:num w:numId="4" w16cid:durableId="919942390">
    <w:abstractNumId w:val="0"/>
  </w:num>
  <w:num w:numId="5" w16cid:durableId="1909143995">
    <w:abstractNumId w:val="7"/>
  </w:num>
  <w:num w:numId="6" w16cid:durableId="1851092883">
    <w:abstractNumId w:val="2"/>
  </w:num>
  <w:num w:numId="7" w16cid:durableId="447506753">
    <w:abstractNumId w:val="5"/>
  </w:num>
  <w:num w:numId="8" w16cid:durableId="509488768">
    <w:abstractNumId w:val="3"/>
  </w:num>
  <w:num w:numId="9" w16cid:durableId="73682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O6lZPU/mUDVnb4w+Xdne8e6DvgueMsa+iacYpxt5RDewUbybICSfwTR/fQ7U1rPJgAbkpjYLLtz2WdvnwiOhzg==" w:salt="V1EUgeO4KFQ9LbGi+Z3AH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CE"/>
    <w:rsid w:val="00003514"/>
    <w:rsid w:val="0003576C"/>
    <w:rsid w:val="00041890"/>
    <w:rsid w:val="000544A9"/>
    <w:rsid w:val="00061553"/>
    <w:rsid w:val="00063EC9"/>
    <w:rsid w:val="000676FE"/>
    <w:rsid w:val="00067CB9"/>
    <w:rsid w:val="000703C2"/>
    <w:rsid w:val="00072DAE"/>
    <w:rsid w:val="00072FE1"/>
    <w:rsid w:val="00077205"/>
    <w:rsid w:val="0008339B"/>
    <w:rsid w:val="00090476"/>
    <w:rsid w:val="000B0966"/>
    <w:rsid w:val="000B4A3B"/>
    <w:rsid w:val="000D20E1"/>
    <w:rsid w:val="000D37C8"/>
    <w:rsid w:val="000D43CD"/>
    <w:rsid w:val="000D69B4"/>
    <w:rsid w:val="000E0798"/>
    <w:rsid w:val="000E637E"/>
    <w:rsid w:val="000F13C8"/>
    <w:rsid w:val="000F2EF8"/>
    <w:rsid w:val="00102173"/>
    <w:rsid w:val="001029EB"/>
    <w:rsid w:val="00103EC9"/>
    <w:rsid w:val="00104476"/>
    <w:rsid w:val="00125634"/>
    <w:rsid w:val="0012602B"/>
    <w:rsid w:val="00126DA4"/>
    <w:rsid w:val="001328F0"/>
    <w:rsid w:val="00136792"/>
    <w:rsid w:val="0014189E"/>
    <w:rsid w:val="0014552E"/>
    <w:rsid w:val="00145E0E"/>
    <w:rsid w:val="00153356"/>
    <w:rsid w:val="001552E5"/>
    <w:rsid w:val="00157DB4"/>
    <w:rsid w:val="001635C1"/>
    <w:rsid w:val="0016436A"/>
    <w:rsid w:val="001704F6"/>
    <w:rsid w:val="001722B2"/>
    <w:rsid w:val="0017723D"/>
    <w:rsid w:val="0019255B"/>
    <w:rsid w:val="00193237"/>
    <w:rsid w:val="001A5EFA"/>
    <w:rsid w:val="001A7BE7"/>
    <w:rsid w:val="001B1513"/>
    <w:rsid w:val="001B636F"/>
    <w:rsid w:val="001C5723"/>
    <w:rsid w:val="001D1FF8"/>
    <w:rsid w:val="001E3EDE"/>
    <w:rsid w:val="001E5094"/>
    <w:rsid w:val="001E5EA2"/>
    <w:rsid w:val="001F19A0"/>
    <w:rsid w:val="001F3AFF"/>
    <w:rsid w:val="001F6C8A"/>
    <w:rsid w:val="001F7E67"/>
    <w:rsid w:val="002142F8"/>
    <w:rsid w:val="00214ABB"/>
    <w:rsid w:val="00217BEE"/>
    <w:rsid w:val="00236C2C"/>
    <w:rsid w:val="00250639"/>
    <w:rsid w:val="00261D27"/>
    <w:rsid w:val="002622FA"/>
    <w:rsid w:val="00275614"/>
    <w:rsid w:val="00281FD4"/>
    <w:rsid w:val="0028689C"/>
    <w:rsid w:val="00291FAF"/>
    <w:rsid w:val="002920AC"/>
    <w:rsid w:val="00297B1A"/>
    <w:rsid w:val="002A73D0"/>
    <w:rsid w:val="002A79C4"/>
    <w:rsid w:val="002B0D87"/>
    <w:rsid w:val="002B6DEF"/>
    <w:rsid w:val="002C30D3"/>
    <w:rsid w:val="002D121B"/>
    <w:rsid w:val="002D6605"/>
    <w:rsid w:val="002E33E7"/>
    <w:rsid w:val="002E3BDF"/>
    <w:rsid w:val="002E5B6F"/>
    <w:rsid w:val="002F0AE3"/>
    <w:rsid w:val="002F160E"/>
    <w:rsid w:val="002F2D6B"/>
    <w:rsid w:val="0030568B"/>
    <w:rsid w:val="00306164"/>
    <w:rsid w:val="0031256A"/>
    <w:rsid w:val="003177F1"/>
    <w:rsid w:val="00322285"/>
    <w:rsid w:val="00327211"/>
    <w:rsid w:val="00330CC7"/>
    <w:rsid w:val="00332042"/>
    <w:rsid w:val="00333324"/>
    <w:rsid w:val="00334450"/>
    <w:rsid w:val="0034079A"/>
    <w:rsid w:val="00341C13"/>
    <w:rsid w:val="00343E76"/>
    <w:rsid w:val="00347AC2"/>
    <w:rsid w:val="00355189"/>
    <w:rsid w:val="00366EFE"/>
    <w:rsid w:val="00367F4F"/>
    <w:rsid w:val="00383173"/>
    <w:rsid w:val="00395874"/>
    <w:rsid w:val="003A14D4"/>
    <w:rsid w:val="003A4B10"/>
    <w:rsid w:val="003A6970"/>
    <w:rsid w:val="003E074B"/>
    <w:rsid w:val="003E5C3A"/>
    <w:rsid w:val="003E70B2"/>
    <w:rsid w:val="003F119C"/>
    <w:rsid w:val="003F1544"/>
    <w:rsid w:val="003F444F"/>
    <w:rsid w:val="003F4D3C"/>
    <w:rsid w:val="0040369F"/>
    <w:rsid w:val="004138DF"/>
    <w:rsid w:val="0042117D"/>
    <w:rsid w:val="00430161"/>
    <w:rsid w:val="00435B39"/>
    <w:rsid w:val="00441E5F"/>
    <w:rsid w:val="004462BD"/>
    <w:rsid w:val="004531F1"/>
    <w:rsid w:val="004620FA"/>
    <w:rsid w:val="00464D53"/>
    <w:rsid w:val="00466EE6"/>
    <w:rsid w:val="004749E9"/>
    <w:rsid w:val="00484A65"/>
    <w:rsid w:val="0048691E"/>
    <w:rsid w:val="00491424"/>
    <w:rsid w:val="00491587"/>
    <w:rsid w:val="00495D79"/>
    <w:rsid w:val="004A295A"/>
    <w:rsid w:val="004A637D"/>
    <w:rsid w:val="004B0825"/>
    <w:rsid w:val="004B5C72"/>
    <w:rsid w:val="004C7081"/>
    <w:rsid w:val="004C7BFE"/>
    <w:rsid w:val="004D0A63"/>
    <w:rsid w:val="004D2568"/>
    <w:rsid w:val="004D5DC5"/>
    <w:rsid w:val="004E4081"/>
    <w:rsid w:val="004F51CF"/>
    <w:rsid w:val="00503E8D"/>
    <w:rsid w:val="00504794"/>
    <w:rsid w:val="00507D95"/>
    <w:rsid w:val="0051026D"/>
    <w:rsid w:val="00516321"/>
    <w:rsid w:val="0051677B"/>
    <w:rsid w:val="00522C83"/>
    <w:rsid w:val="00523520"/>
    <w:rsid w:val="00526D23"/>
    <w:rsid w:val="005276EB"/>
    <w:rsid w:val="0053112D"/>
    <w:rsid w:val="00540190"/>
    <w:rsid w:val="0054454B"/>
    <w:rsid w:val="00553F89"/>
    <w:rsid w:val="00554C4B"/>
    <w:rsid w:val="005566A4"/>
    <w:rsid w:val="0056295A"/>
    <w:rsid w:val="00566408"/>
    <w:rsid w:val="005731BA"/>
    <w:rsid w:val="00575DF0"/>
    <w:rsid w:val="005778DB"/>
    <w:rsid w:val="00590A58"/>
    <w:rsid w:val="00594FD5"/>
    <w:rsid w:val="0059520A"/>
    <w:rsid w:val="005A004D"/>
    <w:rsid w:val="005A2B5E"/>
    <w:rsid w:val="005A72FC"/>
    <w:rsid w:val="005C2414"/>
    <w:rsid w:val="005D4501"/>
    <w:rsid w:val="005D79AA"/>
    <w:rsid w:val="005E73B2"/>
    <w:rsid w:val="005F26A9"/>
    <w:rsid w:val="005F65A4"/>
    <w:rsid w:val="00602849"/>
    <w:rsid w:val="00605A15"/>
    <w:rsid w:val="00611048"/>
    <w:rsid w:val="00614196"/>
    <w:rsid w:val="00616609"/>
    <w:rsid w:val="00616F5B"/>
    <w:rsid w:val="00631F83"/>
    <w:rsid w:val="006334DB"/>
    <w:rsid w:val="006368F6"/>
    <w:rsid w:val="00645D4B"/>
    <w:rsid w:val="00645E30"/>
    <w:rsid w:val="00652CE5"/>
    <w:rsid w:val="0066419E"/>
    <w:rsid w:val="0066623F"/>
    <w:rsid w:val="006664FA"/>
    <w:rsid w:val="00677FB7"/>
    <w:rsid w:val="0068243E"/>
    <w:rsid w:val="00683B6C"/>
    <w:rsid w:val="00684205"/>
    <w:rsid w:val="006861A0"/>
    <w:rsid w:val="00686347"/>
    <w:rsid w:val="00694131"/>
    <w:rsid w:val="00696CFA"/>
    <w:rsid w:val="00696D0B"/>
    <w:rsid w:val="006A1638"/>
    <w:rsid w:val="006A2B55"/>
    <w:rsid w:val="006A3D85"/>
    <w:rsid w:val="006A4C75"/>
    <w:rsid w:val="006A532A"/>
    <w:rsid w:val="006B13FA"/>
    <w:rsid w:val="006B47E2"/>
    <w:rsid w:val="006C49F9"/>
    <w:rsid w:val="006D0675"/>
    <w:rsid w:val="006D1C29"/>
    <w:rsid w:val="006E5CB4"/>
    <w:rsid w:val="006E7FEC"/>
    <w:rsid w:val="006F58DF"/>
    <w:rsid w:val="006F64EA"/>
    <w:rsid w:val="00715A5D"/>
    <w:rsid w:val="00725D48"/>
    <w:rsid w:val="00735CCA"/>
    <w:rsid w:val="00741F69"/>
    <w:rsid w:val="00751E53"/>
    <w:rsid w:val="00753C8D"/>
    <w:rsid w:val="00761FD8"/>
    <w:rsid w:val="007675D9"/>
    <w:rsid w:val="0077141D"/>
    <w:rsid w:val="007729D1"/>
    <w:rsid w:val="00774CBC"/>
    <w:rsid w:val="00777882"/>
    <w:rsid w:val="00797463"/>
    <w:rsid w:val="007A01C4"/>
    <w:rsid w:val="007B5A61"/>
    <w:rsid w:val="007C1FE5"/>
    <w:rsid w:val="007C3F77"/>
    <w:rsid w:val="007D09CE"/>
    <w:rsid w:val="007D4C0D"/>
    <w:rsid w:val="007D60ED"/>
    <w:rsid w:val="007E3462"/>
    <w:rsid w:val="007F067D"/>
    <w:rsid w:val="007F197C"/>
    <w:rsid w:val="007F3487"/>
    <w:rsid w:val="007F40D3"/>
    <w:rsid w:val="007F53DF"/>
    <w:rsid w:val="008037A5"/>
    <w:rsid w:val="0080571E"/>
    <w:rsid w:val="00811557"/>
    <w:rsid w:val="0082089E"/>
    <w:rsid w:val="00834940"/>
    <w:rsid w:val="008355D7"/>
    <w:rsid w:val="00844D04"/>
    <w:rsid w:val="008536EA"/>
    <w:rsid w:val="00854320"/>
    <w:rsid w:val="00855F5D"/>
    <w:rsid w:val="00857B75"/>
    <w:rsid w:val="00861F98"/>
    <w:rsid w:val="008623E2"/>
    <w:rsid w:val="008700E2"/>
    <w:rsid w:val="00876718"/>
    <w:rsid w:val="00877BAD"/>
    <w:rsid w:val="00877F17"/>
    <w:rsid w:val="00886407"/>
    <w:rsid w:val="008870B2"/>
    <w:rsid w:val="0089036E"/>
    <w:rsid w:val="00893FA6"/>
    <w:rsid w:val="00897D50"/>
    <w:rsid w:val="008A054F"/>
    <w:rsid w:val="008A3B89"/>
    <w:rsid w:val="008A6FE5"/>
    <w:rsid w:val="008B1139"/>
    <w:rsid w:val="008B25A5"/>
    <w:rsid w:val="008B78C8"/>
    <w:rsid w:val="008C36D1"/>
    <w:rsid w:val="008C6DC7"/>
    <w:rsid w:val="008D001E"/>
    <w:rsid w:val="008D5325"/>
    <w:rsid w:val="008E631C"/>
    <w:rsid w:val="008F2C66"/>
    <w:rsid w:val="008F6612"/>
    <w:rsid w:val="00906C88"/>
    <w:rsid w:val="00915BA4"/>
    <w:rsid w:val="009349D8"/>
    <w:rsid w:val="009359F6"/>
    <w:rsid w:val="0094730F"/>
    <w:rsid w:val="00951739"/>
    <w:rsid w:val="009736C9"/>
    <w:rsid w:val="00976DE9"/>
    <w:rsid w:val="0097720D"/>
    <w:rsid w:val="00983F70"/>
    <w:rsid w:val="00986360"/>
    <w:rsid w:val="00986F6E"/>
    <w:rsid w:val="00991F04"/>
    <w:rsid w:val="009961C8"/>
    <w:rsid w:val="009A6F1B"/>
    <w:rsid w:val="009B0571"/>
    <w:rsid w:val="009B2CA7"/>
    <w:rsid w:val="009B7FC9"/>
    <w:rsid w:val="009C3C03"/>
    <w:rsid w:val="009C7C6F"/>
    <w:rsid w:val="009D0B74"/>
    <w:rsid w:val="009D1009"/>
    <w:rsid w:val="009D58E2"/>
    <w:rsid w:val="009E0B60"/>
    <w:rsid w:val="009E3332"/>
    <w:rsid w:val="009E46A8"/>
    <w:rsid w:val="009F1309"/>
    <w:rsid w:val="009F1C7D"/>
    <w:rsid w:val="009F26F1"/>
    <w:rsid w:val="009F6047"/>
    <w:rsid w:val="009F64FA"/>
    <w:rsid w:val="009F75C4"/>
    <w:rsid w:val="00A001E6"/>
    <w:rsid w:val="00A05986"/>
    <w:rsid w:val="00A06C91"/>
    <w:rsid w:val="00A11FFE"/>
    <w:rsid w:val="00A14BF0"/>
    <w:rsid w:val="00A15173"/>
    <w:rsid w:val="00A2019F"/>
    <w:rsid w:val="00A20F81"/>
    <w:rsid w:val="00A361AD"/>
    <w:rsid w:val="00A4168C"/>
    <w:rsid w:val="00A44B94"/>
    <w:rsid w:val="00A473A0"/>
    <w:rsid w:val="00A536DB"/>
    <w:rsid w:val="00A53896"/>
    <w:rsid w:val="00A54713"/>
    <w:rsid w:val="00A56085"/>
    <w:rsid w:val="00A60165"/>
    <w:rsid w:val="00A62BC7"/>
    <w:rsid w:val="00A65FB5"/>
    <w:rsid w:val="00A72BD4"/>
    <w:rsid w:val="00A74317"/>
    <w:rsid w:val="00A76C13"/>
    <w:rsid w:val="00A87FBC"/>
    <w:rsid w:val="00AA19E8"/>
    <w:rsid w:val="00AA1B0A"/>
    <w:rsid w:val="00AA2FAF"/>
    <w:rsid w:val="00AA42FC"/>
    <w:rsid w:val="00AA5927"/>
    <w:rsid w:val="00AA78F2"/>
    <w:rsid w:val="00AB3A9A"/>
    <w:rsid w:val="00AC7A3E"/>
    <w:rsid w:val="00AD032C"/>
    <w:rsid w:val="00AE3A94"/>
    <w:rsid w:val="00AF60EF"/>
    <w:rsid w:val="00B0614C"/>
    <w:rsid w:val="00B36ADB"/>
    <w:rsid w:val="00B461FD"/>
    <w:rsid w:val="00B532C2"/>
    <w:rsid w:val="00B60994"/>
    <w:rsid w:val="00B61C7E"/>
    <w:rsid w:val="00B919DE"/>
    <w:rsid w:val="00B92D27"/>
    <w:rsid w:val="00BA4A9A"/>
    <w:rsid w:val="00BA582E"/>
    <w:rsid w:val="00BB1660"/>
    <w:rsid w:val="00BB3630"/>
    <w:rsid w:val="00BB7553"/>
    <w:rsid w:val="00BC1A7D"/>
    <w:rsid w:val="00BC38EF"/>
    <w:rsid w:val="00BC4BD4"/>
    <w:rsid w:val="00BC7968"/>
    <w:rsid w:val="00BE5398"/>
    <w:rsid w:val="00BF1C59"/>
    <w:rsid w:val="00BF690E"/>
    <w:rsid w:val="00C023C7"/>
    <w:rsid w:val="00C22843"/>
    <w:rsid w:val="00C2420A"/>
    <w:rsid w:val="00C302DC"/>
    <w:rsid w:val="00C36D50"/>
    <w:rsid w:val="00C3764B"/>
    <w:rsid w:val="00C41AA1"/>
    <w:rsid w:val="00C42272"/>
    <w:rsid w:val="00C431A4"/>
    <w:rsid w:val="00C454F6"/>
    <w:rsid w:val="00C55CA8"/>
    <w:rsid w:val="00C609CE"/>
    <w:rsid w:val="00C63DA3"/>
    <w:rsid w:val="00C666B4"/>
    <w:rsid w:val="00C719D7"/>
    <w:rsid w:val="00C82503"/>
    <w:rsid w:val="00C92E2F"/>
    <w:rsid w:val="00CA0A7D"/>
    <w:rsid w:val="00CA3EE5"/>
    <w:rsid w:val="00CB41BF"/>
    <w:rsid w:val="00CB73E3"/>
    <w:rsid w:val="00CC06F0"/>
    <w:rsid w:val="00CD38D3"/>
    <w:rsid w:val="00CE0AE0"/>
    <w:rsid w:val="00CE56B5"/>
    <w:rsid w:val="00CF0599"/>
    <w:rsid w:val="00CF0DC2"/>
    <w:rsid w:val="00CF0F91"/>
    <w:rsid w:val="00CF5E2E"/>
    <w:rsid w:val="00CF627D"/>
    <w:rsid w:val="00D000BC"/>
    <w:rsid w:val="00D00393"/>
    <w:rsid w:val="00D050D0"/>
    <w:rsid w:val="00D120F0"/>
    <w:rsid w:val="00D16F20"/>
    <w:rsid w:val="00D20D49"/>
    <w:rsid w:val="00D247BA"/>
    <w:rsid w:val="00D24E2A"/>
    <w:rsid w:val="00D25238"/>
    <w:rsid w:val="00D263AE"/>
    <w:rsid w:val="00D276C3"/>
    <w:rsid w:val="00D3089E"/>
    <w:rsid w:val="00D40413"/>
    <w:rsid w:val="00D433B9"/>
    <w:rsid w:val="00D47646"/>
    <w:rsid w:val="00D5215D"/>
    <w:rsid w:val="00D52940"/>
    <w:rsid w:val="00D56629"/>
    <w:rsid w:val="00D665EC"/>
    <w:rsid w:val="00D66BB3"/>
    <w:rsid w:val="00D677DB"/>
    <w:rsid w:val="00D71DA8"/>
    <w:rsid w:val="00D74415"/>
    <w:rsid w:val="00D7443E"/>
    <w:rsid w:val="00D74F74"/>
    <w:rsid w:val="00D80FBB"/>
    <w:rsid w:val="00D85AD3"/>
    <w:rsid w:val="00D87A85"/>
    <w:rsid w:val="00D958AF"/>
    <w:rsid w:val="00D97AA2"/>
    <w:rsid w:val="00DA03E4"/>
    <w:rsid w:val="00DA110E"/>
    <w:rsid w:val="00DA1D3E"/>
    <w:rsid w:val="00DA2760"/>
    <w:rsid w:val="00DA529C"/>
    <w:rsid w:val="00DA6C9C"/>
    <w:rsid w:val="00DB1FE5"/>
    <w:rsid w:val="00DB3F02"/>
    <w:rsid w:val="00DC31A9"/>
    <w:rsid w:val="00DC7883"/>
    <w:rsid w:val="00DD7426"/>
    <w:rsid w:val="00DD74C2"/>
    <w:rsid w:val="00E04D63"/>
    <w:rsid w:val="00E100FA"/>
    <w:rsid w:val="00E13676"/>
    <w:rsid w:val="00E154C9"/>
    <w:rsid w:val="00E2232D"/>
    <w:rsid w:val="00E247F4"/>
    <w:rsid w:val="00E2736D"/>
    <w:rsid w:val="00E3431D"/>
    <w:rsid w:val="00E46941"/>
    <w:rsid w:val="00E57C2E"/>
    <w:rsid w:val="00E631E2"/>
    <w:rsid w:val="00E640B2"/>
    <w:rsid w:val="00E704E0"/>
    <w:rsid w:val="00E737C6"/>
    <w:rsid w:val="00E83AE0"/>
    <w:rsid w:val="00E8683A"/>
    <w:rsid w:val="00E92CA5"/>
    <w:rsid w:val="00EA2F9A"/>
    <w:rsid w:val="00EA6DB1"/>
    <w:rsid w:val="00EB23CA"/>
    <w:rsid w:val="00EB54DB"/>
    <w:rsid w:val="00EB5A0D"/>
    <w:rsid w:val="00EB64D8"/>
    <w:rsid w:val="00ED1BD1"/>
    <w:rsid w:val="00ED7D27"/>
    <w:rsid w:val="00EE0D49"/>
    <w:rsid w:val="00EE1F8B"/>
    <w:rsid w:val="00EE508D"/>
    <w:rsid w:val="00F126CF"/>
    <w:rsid w:val="00F16897"/>
    <w:rsid w:val="00F1761C"/>
    <w:rsid w:val="00F2341E"/>
    <w:rsid w:val="00F35230"/>
    <w:rsid w:val="00F370DF"/>
    <w:rsid w:val="00F40DBA"/>
    <w:rsid w:val="00F41416"/>
    <w:rsid w:val="00F452AC"/>
    <w:rsid w:val="00F5698E"/>
    <w:rsid w:val="00F56E5F"/>
    <w:rsid w:val="00F56F12"/>
    <w:rsid w:val="00F630DA"/>
    <w:rsid w:val="00F6778E"/>
    <w:rsid w:val="00F73C4A"/>
    <w:rsid w:val="00F73D48"/>
    <w:rsid w:val="00F86C40"/>
    <w:rsid w:val="00FB3E37"/>
    <w:rsid w:val="00FB4748"/>
    <w:rsid w:val="00FB4E52"/>
    <w:rsid w:val="00FB5601"/>
    <w:rsid w:val="00FB5906"/>
    <w:rsid w:val="00FB7309"/>
    <w:rsid w:val="00FC4043"/>
    <w:rsid w:val="00FC7F1C"/>
    <w:rsid w:val="00FD1BD3"/>
    <w:rsid w:val="00FD6B5D"/>
    <w:rsid w:val="00FE22E4"/>
    <w:rsid w:val="00FE6B68"/>
    <w:rsid w:val="00FF2304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00C46FAC"/>
  <w15:chartTrackingRefBased/>
  <w15:docId w15:val="{E2926D0F-9E0B-467D-BA05-D5618FC1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9CE"/>
    <w:pPr>
      <w:autoSpaceDE w:val="0"/>
      <w:autoSpaceDN w:val="0"/>
      <w:adjustRightInd w:val="0"/>
    </w:pPr>
    <w:rPr>
      <w:rFonts w:ascii="TTE1BB2A20t00" w:hAnsi="TTE1BB2A20t00" w:cs="TTE1BB2A20t0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CE"/>
  </w:style>
  <w:style w:type="paragraph" w:styleId="Footer">
    <w:name w:val="footer"/>
    <w:basedOn w:val="Normal"/>
    <w:link w:val="Foot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CE"/>
  </w:style>
  <w:style w:type="paragraph" w:styleId="BalloonText">
    <w:name w:val="Balloon Text"/>
    <w:basedOn w:val="Normal"/>
    <w:link w:val="BalloonTextChar"/>
    <w:uiPriority w:val="99"/>
    <w:semiHidden/>
    <w:unhideWhenUsed/>
    <w:rsid w:val="0061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60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609"/>
    <w:pPr>
      <w:ind w:left="720"/>
      <w:contextualSpacing/>
    </w:pPr>
  </w:style>
  <w:style w:type="table" w:styleId="TableGrid">
    <w:name w:val="Table Grid"/>
    <w:basedOn w:val="TableNormal"/>
    <w:uiPriority w:val="59"/>
    <w:rsid w:val="0061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640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00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0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0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0BC"/>
    <w:rPr>
      <w:b/>
      <w:bCs/>
    </w:rPr>
  </w:style>
  <w:style w:type="character" w:styleId="PageNumber">
    <w:name w:val="page number"/>
    <w:basedOn w:val="DefaultParagraphFont"/>
    <w:rsid w:val="00C42272"/>
  </w:style>
  <w:style w:type="character" w:styleId="UnresolvedMention">
    <w:name w:val="Unresolved Mention"/>
    <w:basedOn w:val="DefaultParagraphFont"/>
    <w:uiPriority w:val="99"/>
    <w:semiHidden/>
    <w:unhideWhenUsed/>
    <w:rsid w:val="00F86C40"/>
    <w:rPr>
      <w:color w:val="605E5C"/>
      <w:shd w:val="clear" w:color="auto" w:fill="E1DFDD"/>
    </w:rPr>
  </w:style>
  <w:style w:type="paragraph" w:customStyle="1" w:styleId="TDHCAfooter">
    <w:name w:val="TDHCA footer"/>
    <w:basedOn w:val="Normal"/>
    <w:qFormat/>
    <w:rsid w:val="00590A58"/>
    <w:pPr>
      <w:spacing w:after="0" w:line="240" w:lineRule="auto"/>
      <w:jc w:val="center"/>
    </w:pPr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ssa.gov/oact/cola/sga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6237-2509-4CFD-9DD0-1BE391B9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acombs</dc:creator>
  <cp:keywords/>
  <dc:description/>
  <cp:lastModifiedBy>Chad Landry</cp:lastModifiedBy>
  <cp:revision>9</cp:revision>
  <cp:lastPrinted>2011-08-10T22:29:00Z</cp:lastPrinted>
  <dcterms:created xsi:type="dcterms:W3CDTF">2025-06-12T22:39:00Z</dcterms:created>
  <dcterms:modified xsi:type="dcterms:W3CDTF">2025-08-18T19:32:00Z</dcterms:modified>
</cp:coreProperties>
</file>