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049E" w14:textId="2B1198A3" w:rsidR="00866278" w:rsidRDefault="00F41964" w:rsidP="00DF5673">
      <w:pPr>
        <w:spacing w:after="0" w:line="240" w:lineRule="auto"/>
        <w:jc w:val="center"/>
      </w:pPr>
      <w:r>
        <w:rPr>
          <w:b/>
          <w:smallCaps/>
          <w:color w:val="002060"/>
          <w:sz w:val="48"/>
          <w:szCs w:val="48"/>
        </w:rPr>
        <w:t>Texas Hill Country Disaster 2025 TBRA</w:t>
      </w:r>
    </w:p>
    <w:p w14:paraId="5B140E4C" w14:textId="4D9ABF76" w:rsidR="00866278" w:rsidRPr="00AA19C8" w:rsidRDefault="007D57BF" w:rsidP="00DF5673">
      <w:pPr>
        <w:spacing w:after="0" w:line="240" w:lineRule="auto"/>
        <w:jc w:val="center"/>
      </w:pPr>
      <w:r>
        <w:rPr>
          <w:b/>
          <w:smallCaps/>
          <w:color w:val="002060"/>
          <w:sz w:val="48"/>
          <w:szCs w:val="48"/>
        </w:rPr>
        <w:t>Active Waivers</w:t>
      </w:r>
      <w:r w:rsidR="0053578D">
        <w:rPr>
          <w:b/>
          <w:smallCaps/>
          <w:color w:val="002060"/>
          <w:sz w:val="48"/>
          <w:szCs w:val="48"/>
        </w:rPr>
        <w:t>/Suspensions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2605"/>
        <w:gridCol w:w="2430"/>
        <w:gridCol w:w="1260"/>
        <w:gridCol w:w="7020"/>
      </w:tblGrid>
      <w:tr w:rsidR="00C96BF6" w:rsidRPr="00150857" w14:paraId="3482FEDB" w14:textId="77777777" w:rsidTr="00652E9C">
        <w:trPr>
          <w:tblHeader/>
        </w:trPr>
        <w:tc>
          <w:tcPr>
            <w:tcW w:w="2605" w:type="dxa"/>
          </w:tcPr>
          <w:p w14:paraId="2B756908" w14:textId="77777777" w:rsidR="00C96BF6" w:rsidRPr="00150857" w:rsidRDefault="00C96BF6" w:rsidP="008A3AA8">
            <w:pPr>
              <w:jc w:val="center"/>
              <w:rPr>
                <w:b/>
                <w:sz w:val="20"/>
                <w:szCs w:val="20"/>
              </w:rPr>
            </w:pPr>
            <w:r w:rsidRPr="00150857">
              <w:rPr>
                <w:b/>
                <w:sz w:val="20"/>
                <w:szCs w:val="20"/>
              </w:rPr>
              <w:t>Requirement</w:t>
            </w:r>
          </w:p>
        </w:tc>
        <w:tc>
          <w:tcPr>
            <w:tcW w:w="2430" w:type="dxa"/>
          </w:tcPr>
          <w:p w14:paraId="524B0F34" w14:textId="77777777" w:rsidR="00C96BF6" w:rsidRPr="00150857" w:rsidRDefault="00C96BF6" w:rsidP="008A3AA8">
            <w:pPr>
              <w:jc w:val="center"/>
              <w:rPr>
                <w:b/>
                <w:sz w:val="20"/>
                <w:szCs w:val="20"/>
              </w:rPr>
            </w:pPr>
            <w:r w:rsidRPr="00150857">
              <w:rPr>
                <w:b/>
                <w:sz w:val="20"/>
                <w:szCs w:val="20"/>
              </w:rPr>
              <w:t>Citation</w:t>
            </w:r>
          </w:p>
        </w:tc>
        <w:tc>
          <w:tcPr>
            <w:tcW w:w="1260" w:type="dxa"/>
          </w:tcPr>
          <w:p w14:paraId="249319AE" w14:textId="77777777" w:rsidR="00C96BF6" w:rsidRPr="00150857" w:rsidRDefault="00C96BF6" w:rsidP="008A3AA8">
            <w:pPr>
              <w:jc w:val="center"/>
              <w:rPr>
                <w:b/>
                <w:sz w:val="20"/>
                <w:szCs w:val="20"/>
              </w:rPr>
            </w:pPr>
            <w:r w:rsidRPr="00150857">
              <w:rPr>
                <w:b/>
                <w:sz w:val="20"/>
                <w:szCs w:val="20"/>
              </w:rPr>
              <w:t>Expiration</w:t>
            </w:r>
          </w:p>
        </w:tc>
        <w:tc>
          <w:tcPr>
            <w:tcW w:w="7020" w:type="dxa"/>
          </w:tcPr>
          <w:p w14:paraId="3A4CEF3E" w14:textId="77777777" w:rsidR="00C96BF6" w:rsidRPr="00150857" w:rsidRDefault="00C96BF6" w:rsidP="004558B9">
            <w:pPr>
              <w:jc w:val="center"/>
              <w:rPr>
                <w:b/>
                <w:sz w:val="20"/>
                <w:szCs w:val="20"/>
              </w:rPr>
            </w:pPr>
            <w:r w:rsidRPr="00150857">
              <w:rPr>
                <w:b/>
                <w:sz w:val="20"/>
                <w:szCs w:val="20"/>
              </w:rPr>
              <w:t>Applicability</w:t>
            </w:r>
          </w:p>
        </w:tc>
      </w:tr>
      <w:tr w:rsidR="00C96BF6" w:rsidRPr="00347958" w14:paraId="073FC81C" w14:textId="77777777" w:rsidTr="00652E9C">
        <w:tc>
          <w:tcPr>
            <w:tcW w:w="2605" w:type="dxa"/>
          </w:tcPr>
          <w:p w14:paraId="342CCAF6" w14:textId="5A5AB9C6" w:rsidR="00C96BF6" w:rsidRPr="00347958" w:rsidRDefault="00D6268D" w:rsidP="00277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Rental </w:t>
            </w:r>
            <w:r w:rsidR="00255D3F">
              <w:rPr>
                <w:b/>
                <w:sz w:val="20"/>
                <w:szCs w:val="20"/>
              </w:rPr>
              <w:t>Coupon</w:t>
            </w:r>
            <w:r>
              <w:rPr>
                <w:b/>
                <w:sz w:val="20"/>
                <w:szCs w:val="20"/>
              </w:rPr>
              <w:t xml:space="preserve"> Contract </w:t>
            </w:r>
          </w:p>
        </w:tc>
        <w:tc>
          <w:tcPr>
            <w:tcW w:w="2430" w:type="dxa"/>
          </w:tcPr>
          <w:p w14:paraId="35730CB2" w14:textId="53AF3454" w:rsidR="00C96BF6" w:rsidRPr="00347958" w:rsidRDefault="00D6268D" w:rsidP="002775DD">
            <w:pPr>
              <w:rPr>
                <w:sz w:val="20"/>
                <w:szCs w:val="20"/>
              </w:rPr>
            </w:pPr>
            <w:r w:rsidRPr="00D6268D">
              <w:rPr>
                <w:sz w:val="20"/>
                <w:szCs w:val="20"/>
              </w:rPr>
              <w:t xml:space="preserve">24 CFR </w:t>
            </w:r>
            <w:r w:rsidR="009D6F82" w:rsidRPr="00347958">
              <w:rPr>
                <w:sz w:val="20"/>
                <w:szCs w:val="20"/>
              </w:rPr>
              <w:t>§</w:t>
            </w:r>
            <w:r w:rsidRPr="00D6268D">
              <w:rPr>
                <w:sz w:val="20"/>
                <w:szCs w:val="20"/>
              </w:rPr>
              <w:t>92.209(e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19BACD87" w14:textId="731F6849" w:rsidR="00652E9C" w:rsidRPr="00652E9C" w:rsidRDefault="00652E9C" w:rsidP="00652E9C">
            <w:pPr>
              <w:rPr>
                <w:b/>
                <w:sz w:val="20"/>
                <w:szCs w:val="20"/>
              </w:rPr>
            </w:pPr>
            <w:r w:rsidRPr="00652E9C">
              <w:rPr>
                <w:b/>
                <w:sz w:val="20"/>
                <w:szCs w:val="20"/>
              </w:rPr>
              <w:t>0</w:t>
            </w:r>
            <w:r w:rsidR="00D6268D">
              <w:rPr>
                <w:b/>
                <w:sz w:val="20"/>
                <w:szCs w:val="20"/>
              </w:rPr>
              <w:t>7</w:t>
            </w:r>
            <w:r w:rsidR="0053578D">
              <w:rPr>
                <w:b/>
                <w:sz w:val="20"/>
                <w:szCs w:val="20"/>
              </w:rPr>
              <w:t>/</w:t>
            </w:r>
            <w:r w:rsidR="00D6268D">
              <w:rPr>
                <w:b/>
                <w:sz w:val="20"/>
                <w:szCs w:val="20"/>
              </w:rPr>
              <w:t>18</w:t>
            </w:r>
            <w:r w:rsidR="0053578D">
              <w:rPr>
                <w:b/>
                <w:sz w:val="20"/>
                <w:szCs w:val="20"/>
              </w:rPr>
              <w:t>/202</w:t>
            </w:r>
            <w:r w:rsidR="00D6268D">
              <w:rPr>
                <w:b/>
                <w:sz w:val="20"/>
                <w:szCs w:val="20"/>
              </w:rPr>
              <w:t>7</w:t>
            </w:r>
          </w:p>
          <w:p w14:paraId="2E6B64BF" w14:textId="77777777" w:rsidR="00C96BF6" w:rsidRPr="00347958" w:rsidRDefault="00C96BF6" w:rsidP="00652E9C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60CBD88F" w14:textId="46A0C655" w:rsidR="00C96BF6" w:rsidRPr="00347958" w:rsidRDefault="00D6268D" w:rsidP="002D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9F5A1A">
              <w:rPr>
                <w:sz w:val="20"/>
                <w:szCs w:val="20"/>
              </w:rPr>
              <w:t xml:space="preserve">waiver removes the requirement that the </w:t>
            </w:r>
            <w:r w:rsidR="0010154C">
              <w:rPr>
                <w:sz w:val="20"/>
                <w:szCs w:val="20"/>
              </w:rPr>
              <w:t>Rental Coupon</w:t>
            </w:r>
            <w:r w:rsidR="009F5A1A">
              <w:rPr>
                <w:sz w:val="20"/>
                <w:szCs w:val="20"/>
              </w:rPr>
              <w:t xml:space="preserve"> Contract date and start date of the residential lease be the same day.  The participating jurisdictions may utilize the waiver to </w:t>
            </w:r>
            <w:r w:rsidR="00FD662D">
              <w:rPr>
                <w:sz w:val="20"/>
                <w:szCs w:val="20"/>
              </w:rPr>
              <w:t>expedite</w:t>
            </w:r>
            <w:r w:rsidR="009F5A1A">
              <w:rPr>
                <w:sz w:val="20"/>
                <w:szCs w:val="20"/>
              </w:rPr>
              <w:t xml:space="preserve"> assistance to households, as opposed to aligning the </w:t>
            </w:r>
            <w:r w:rsidR="00FD662D">
              <w:rPr>
                <w:sz w:val="20"/>
                <w:szCs w:val="20"/>
              </w:rPr>
              <w:t xml:space="preserve">dates of the </w:t>
            </w:r>
            <w:r w:rsidR="0010154C">
              <w:rPr>
                <w:sz w:val="20"/>
                <w:szCs w:val="20"/>
              </w:rPr>
              <w:t>RCC</w:t>
            </w:r>
            <w:r w:rsidR="009F5A1A">
              <w:rPr>
                <w:sz w:val="20"/>
                <w:szCs w:val="20"/>
              </w:rPr>
              <w:t xml:space="preserve"> and lease. </w:t>
            </w:r>
          </w:p>
        </w:tc>
      </w:tr>
      <w:tr w:rsidR="00C96BF6" w:rsidRPr="00347958" w14:paraId="64473FE0" w14:textId="77777777" w:rsidTr="00652E9C">
        <w:tc>
          <w:tcPr>
            <w:tcW w:w="2605" w:type="dxa"/>
            <w:shd w:val="clear" w:color="auto" w:fill="auto"/>
          </w:tcPr>
          <w:p w14:paraId="34EC8BB3" w14:textId="07573190" w:rsidR="008D5526" w:rsidRPr="00347958" w:rsidRDefault="00C96BF6" w:rsidP="008D5526">
            <w:pPr>
              <w:rPr>
                <w:b/>
                <w:sz w:val="20"/>
                <w:szCs w:val="20"/>
              </w:rPr>
            </w:pPr>
            <w:r w:rsidRPr="00347958">
              <w:rPr>
                <w:b/>
                <w:sz w:val="20"/>
                <w:szCs w:val="20"/>
              </w:rPr>
              <w:t xml:space="preserve">Housing Quality Standards </w:t>
            </w:r>
          </w:p>
          <w:p w14:paraId="71B82E56" w14:textId="4C72BB6D" w:rsidR="00C96BF6" w:rsidRPr="00347958" w:rsidRDefault="00C96BF6" w:rsidP="002775D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1D6910E" w14:textId="03775E66" w:rsidR="00C96BF6" w:rsidRPr="00347958" w:rsidRDefault="004F378F" w:rsidP="004104F6">
            <w:pPr>
              <w:rPr>
                <w:sz w:val="20"/>
                <w:szCs w:val="20"/>
              </w:rPr>
            </w:pPr>
            <w:r w:rsidRPr="00255D3F">
              <w:rPr>
                <w:sz w:val="20"/>
                <w:szCs w:val="20"/>
              </w:rPr>
              <w:t xml:space="preserve">24 CFR </w:t>
            </w:r>
            <w:r w:rsidR="009D6F82" w:rsidRPr="00347958">
              <w:rPr>
                <w:sz w:val="20"/>
                <w:szCs w:val="20"/>
              </w:rPr>
              <w:t>§</w:t>
            </w:r>
            <w:r w:rsidR="009D6F82">
              <w:rPr>
                <w:sz w:val="20"/>
                <w:szCs w:val="20"/>
              </w:rPr>
              <w:t>92.</w:t>
            </w:r>
            <w:r w:rsidRPr="00255D3F">
              <w:rPr>
                <w:sz w:val="20"/>
                <w:szCs w:val="20"/>
              </w:rPr>
              <w:t>209(</w:t>
            </w:r>
            <w:proofErr w:type="spellStart"/>
            <w:r w:rsidRPr="00255D3F">
              <w:rPr>
                <w:sz w:val="20"/>
                <w:szCs w:val="20"/>
              </w:rPr>
              <w:t>i</w:t>
            </w:r>
            <w:proofErr w:type="spellEnd"/>
            <w:r w:rsidRPr="00255D3F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6DDEBD7F" w14:textId="05F6C251" w:rsidR="00C96BF6" w:rsidRPr="00347958" w:rsidRDefault="00171D67" w:rsidP="002775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07/18/2027</w:t>
            </w:r>
          </w:p>
        </w:tc>
        <w:tc>
          <w:tcPr>
            <w:tcW w:w="7020" w:type="dxa"/>
            <w:shd w:val="clear" w:color="auto" w:fill="auto"/>
          </w:tcPr>
          <w:p w14:paraId="15189E03" w14:textId="083B4E31" w:rsidR="00C96BF6" w:rsidRPr="00347958" w:rsidRDefault="00C96BF6" w:rsidP="002775DD">
            <w:pPr>
              <w:rPr>
                <w:sz w:val="20"/>
                <w:szCs w:val="20"/>
              </w:rPr>
            </w:pPr>
            <w:r w:rsidRPr="00347958">
              <w:rPr>
                <w:sz w:val="20"/>
                <w:szCs w:val="20"/>
              </w:rPr>
              <w:t xml:space="preserve">The waiver is applicable to HQS inspections required to occur </w:t>
            </w:r>
            <w:r w:rsidR="00171D67">
              <w:rPr>
                <w:sz w:val="20"/>
                <w:szCs w:val="20"/>
              </w:rPr>
              <w:t>on or before 7/18/2027.</w:t>
            </w:r>
          </w:p>
          <w:p w14:paraId="6C7289B7" w14:textId="77777777" w:rsidR="00150857" w:rsidRPr="00347958" w:rsidRDefault="00150857" w:rsidP="002775DD">
            <w:pPr>
              <w:rPr>
                <w:sz w:val="20"/>
                <w:szCs w:val="20"/>
              </w:rPr>
            </w:pPr>
          </w:p>
          <w:p w14:paraId="011A2D44" w14:textId="669B91DC" w:rsidR="00C96BF6" w:rsidRPr="00347958" w:rsidRDefault="008D5526" w:rsidP="00D23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Units are not required to meet the Housing Quality Standards; however, Administrators must certify that units meet applicable State and Local health and safety codes and requirements. </w:t>
            </w:r>
            <w:r w:rsidRPr="008D5526">
              <w:rPr>
                <w:b/>
                <w:bCs/>
                <w:sz w:val="20"/>
                <w:szCs w:val="20"/>
              </w:rPr>
              <w:t xml:space="preserve">The lead-safe housing rules are not waived. </w:t>
            </w:r>
          </w:p>
        </w:tc>
      </w:tr>
      <w:tr w:rsidR="0053578D" w:rsidRPr="00347958" w14:paraId="3BE07D46" w14:textId="77777777" w:rsidTr="0053578D">
        <w:tc>
          <w:tcPr>
            <w:tcW w:w="2605" w:type="dxa"/>
          </w:tcPr>
          <w:p w14:paraId="50B49AF4" w14:textId="77777777" w:rsidR="0053578D" w:rsidRPr="00347958" w:rsidRDefault="0053578D" w:rsidP="00163436">
            <w:pPr>
              <w:rPr>
                <w:b/>
                <w:bCs/>
                <w:sz w:val="20"/>
                <w:szCs w:val="20"/>
              </w:rPr>
            </w:pPr>
            <w:r w:rsidRPr="00347958">
              <w:rPr>
                <w:b/>
                <w:bCs/>
                <w:sz w:val="20"/>
                <w:szCs w:val="20"/>
              </w:rPr>
              <w:t>Subsidy Amount</w:t>
            </w:r>
          </w:p>
        </w:tc>
        <w:tc>
          <w:tcPr>
            <w:tcW w:w="2430" w:type="dxa"/>
          </w:tcPr>
          <w:p w14:paraId="3BA95CEE" w14:textId="265BF48D" w:rsidR="0053578D" w:rsidRPr="00347958" w:rsidRDefault="0053578D" w:rsidP="00163436">
            <w:pPr>
              <w:rPr>
                <w:sz w:val="20"/>
                <w:szCs w:val="20"/>
              </w:rPr>
            </w:pPr>
            <w:r w:rsidRPr="00347958">
              <w:rPr>
                <w:sz w:val="20"/>
                <w:szCs w:val="20"/>
              </w:rPr>
              <w:t>Waived-24 CFR</w:t>
            </w:r>
            <w:r w:rsidR="009D6F82">
              <w:rPr>
                <w:sz w:val="20"/>
                <w:szCs w:val="20"/>
              </w:rPr>
              <w:t xml:space="preserve"> </w:t>
            </w:r>
            <w:r w:rsidR="009D6F82" w:rsidRPr="00347958">
              <w:rPr>
                <w:sz w:val="20"/>
                <w:szCs w:val="20"/>
              </w:rPr>
              <w:t>§</w:t>
            </w:r>
            <w:r w:rsidRPr="00347958">
              <w:rPr>
                <w:sz w:val="20"/>
                <w:szCs w:val="20"/>
              </w:rPr>
              <w:t>92.209(a) and (h)</w:t>
            </w:r>
          </w:p>
          <w:p w14:paraId="6B5EEB94" w14:textId="3C3DF780" w:rsidR="0053578D" w:rsidRPr="00347958" w:rsidRDefault="0053578D" w:rsidP="00163436">
            <w:pPr>
              <w:rPr>
                <w:sz w:val="20"/>
                <w:szCs w:val="20"/>
              </w:rPr>
            </w:pPr>
            <w:r w:rsidRPr="00347958">
              <w:rPr>
                <w:sz w:val="20"/>
                <w:szCs w:val="20"/>
              </w:rPr>
              <w:t>10 TAC §23.</w:t>
            </w:r>
            <w:r w:rsidR="0025380F">
              <w:rPr>
                <w:sz w:val="20"/>
                <w:szCs w:val="20"/>
              </w:rPr>
              <w:t>50(b)</w:t>
            </w:r>
            <w:r w:rsidRPr="00347958">
              <w:rPr>
                <w:sz w:val="20"/>
                <w:szCs w:val="20"/>
              </w:rPr>
              <w:t xml:space="preserve">  </w:t>
            </w:r>
          </w:p>
          <w:p w14:paraId="338073CB" w14:textId="4D3ACBC5" w:rsidR="0025380F" w:rsidRPr="00347958" w:rsidRDefault="0025380F" w:rsidP="00253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TAC </w:t>
            </w:r>
            <w:r>
              <w:rPr>
                <w:rFonts w:cstheme="minorHAns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23.50(e)</w:t>
            </w:r>
          </w:p>
          <w:p w14:paraId="61E7034B" w14:textId="304CB7BA" w:rsidR="0053578D" w:rsidRPr="00347958" w:rsidRDefault="0053578D" w:rsidP="001634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763833" w14:textId="38CA14FD" w:rsidR="0053578D" w:rsidRPr="00171D67" w:rsidRDefault="00171D67" w:rsidP="00163436">
            <w:pPr>
              <w:rPr>
                <w:b/>
                <w:bCs/>
                <w:sz w:val="20"/>
                <w:szCs w:val="20"/>
              </w:rPr>
            </w:pPr>
            <w:r w:rsidRPr="00171D6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171D67">
              <w:rPr>
                <w:b/>
                <w:bCs/>
                <w:sz w:val="20"/>
                <w:szCs w:val="20"/>
              </w:rPr>
              <w:t>/18/202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53578D" w:rsidRPr="00171D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</w:tcPr>
          <w:p w14:paraId="3056E235" w14:textId="5F3FA9E4" w:rsidR="0053578D" w:rsidRPr="00347958" w:rsidRDefault="0053578D" w:rsidP="00163436">
            <w:pPr>
              <w:rPr>
                <w:sz w:val="20"/>
                <w:szCs w:val="20"/>
              </w:rPr>
            </w:pPr>
            <w:r w:rsidRPr="00347958">
              <w:rPr>
                <w:sz w:val="20"/>
                <w:szCs w:val="20"/>
              </w:rPr>
              <w:t xml:space="preserve">The monthly subsidy amount households </w:t>
            </w:r>
            <w:r>
              <w:rPr>
                <w:sz w:val="20"/>
                <w:szCs w:val="20"/>
              </w:rPr>
              <w:t xml:space="preserve">displaced by the disaster </w:t>
            </w:r>
            <w:r w:rsidRPr="00347958">
              <w:rPr>
                <w:sz w:val="20"/>
                <w:szCs w:val="20"/>
              </w:rPr>
              <w:t xml:space="preserve">may include 100% of actual monthly rent and utilities.  No subsidy calculation or minimum tenant rent is required. </w:t>
            </w:r>
          </w:p>
          <w:p w14:paraId="1030D177" w14:textId="77777777" w:rsidR="0053578D" w:rsidRPr="00347958" w:rsidRDefault="0053578D" w:rsidP="00163436">
            <w:pPr>
              <w:rPr>
                <w:sz w:val="20"/>
                <w:szCs w:val="20"/>
              </w:rPr>
            </w:pPr>
          </w:p>
        </w:tc>
      </w:tr>
      <w:tr w:rsidR="008D5526" w:rsidRPr="00150857" w14:paraId="793F647B" w14:textId="77777777" w:rsidTr="008D5526">
        <w:tc>
          <w:tcPr>
            <w:tcW w:w="2605" w:type="dxa"/>
          </w:tcPr>
          <w:p w14:paraId="41665F13" w14:textId="45DF53B8" w:rsidR="008D5526" w:rsidRPr="00347958" w:rsidRDefault="008D5526" w:rsidP="00163436">
            <w:pPr>
              <w:rPr>
                <w:b/>
                <w:sz w:val="20"/>
                <w:szCs w:val="20"/>
              </w:rPr>
            </w:pPr>
            <w:r w:rsidRPr="00347958">
              <w:rPr>
                <w:b/>
                <w:sz w:val="20"/>
                <w:szCs w:val="20"/>
              </w:rPr>
              <w:t xml:space="preserve">Income Determinations – Source Documentation </w:t>
            </w:r>
          </w:p>
        </w:tc>
        <w:tc>
          <w:tcPr>
            <w:tcW w:w="2430" w:type="dxa"/>
          </w:tcPr>
          <w:p w14:paraId="0F5A41A9" w14:textId="30C18570" w:rsidR="008D5526" w:rsidRPr="00347958" w:rsidRDefault="008D5526" w:rsidP="00163436">
            <w:pPr>
              <w:rPr>
                <w:sz w:val="20"/>
                <w:szCs w:val="20"/>
              </w:rPr>
            </w:pPr>
            <w:r w:rsidRPr="00347958">
              <w:rPr>
                <w:sz w:val="20"/>
                <w:szCs w:val="20"/>
              </w:rPr>
              <w:t xml:space="preserve">24 CFR </w:t>
            </w:r>
            <w:r w:rsidR="009D6F82" w:rsidRPr="00347958">
              <w:rPr>
                <w:sz w:val="20"/>
                <w:szCs w:val="20"/>
              </w:rPr>
              <w:t>§</w:t>
            </w:r>
            <w:r w:rsidRPr="00347958">
              <w:rPr>
                <w:sz w:val="20"/>
                <w:szCs w:val="20"/>
              </w:rPr>
              <w:t>92.203(a)(2)</w:t>
            </w:r>
          </w:p>
          <w:p w14:paraId="14959723" w14:textId="4923EEE9" w:rsidR="008D5526" w:rsidRPr="00347958" w:rsidRDefault="008D5526" w:rsidP="001634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9D3C9AB" w14:textId="3183CBC7" w:rsidR="008D5526" w:rsidRPr="00171D67" w:rsidRDefault="00171D67" w:rsidP="00163436">
            <w:pPr>
              <w:rPr>
                <w:b/>
                <w:bCs/>
                <w:sz w:val="20"/>
                <w:szCs w:val="20"/>
              </w:rPr>
            </w:pPr>
            <w:r w:rsidRPr="00171D67">
              <w:rPr>
                <w:b/>
                <w:bCs/>
                <w:sz w:val="20"/>
                <w:szCs w:val="20"/>
              </w:rPr>
              <w:t>01/18/2026</w:t>
            </w:r>
          </w:p>
        </w:tc>
        <w:tc>
          <w:tcPr>
            <w:tcW w:w="7020" w:type="dxa"/>
          </w:tcPr>
          <w:p w14:paraId="5CEC888D" w14:textId="63A82D50" w:rsidR="008D5526" w:rsidRPr="00150857" w:rsidRDefault="008D5526" w:rsidP="00163436">
            <w:pPr>
              <w:rPr>
                <w:sz w:val="20"/>
                <w:szCs w:val="20"/>
              </w:rPr>
            </w:pPr>
            <w:r w:rsidRPr="00347958">
              <w:rPr>
                <w:sz w:val="20"/>
                <w:szCs w:val="20"/>
              </w:rPr>
              <w:t xml:space="preserve">This waiver permits households </w:t>
            </w:r>
            <w:r>
              <w:rPr>
                <w:sz w:val="20"/>
                <w:szCs w:val="20"/>
              </w:rPr>
              <w:t>displaced by the disaster</w:t>
            </w:r>
            <w:r w:rsidRPr="00347958">
              <w:rPr>
                <w:sz w:val="20"/>
                <w:szCs w:val="20"/>
              </w:rPr>
              <w:t xml:space="preserve"> to self-certify income in lieu of requiring a review of source documentation.  The certification must include the family’s anticipated annual income and household size, along with a certification that the information is complete and accurate.  </w:t>
            </w:r>
          </w:p>
        </w:tc>
      </w:tr>
    </w:tbl>
    <w:p w14:paraId="17945D2A" w14:textId="77777777" w:rsidR="007D57BF" w:rsidRPr="00AA19C8" w:rsidRDefault="007D57BF" w:rsidP="007D57BF"/>
    <w:p w14:paraId="31C6D9CB" w14:textId="7BD6B096" w:rsidR="001F4123" w:rsidRPr="00B3698B" w:rsidRDefault="009F5A1A" w:rsidP="00150857">
      <w:r w:rsidRPr="00B3698B">
        <w:t>The</w:t>
      </w:r>
      <w:r w:rsidR="003F768F" w:rsidRPr="00B3698B">
        <w:t>se</w:t>
      </w:r>
      <w:r w:rsidRPr="00B3698B">
        <w:t xml:space="preserve"> waivers are applicable </w:t>
      </w:r>
      <w:r w:rsidRPr="00B3698B">
        <w:rPr>
          <w:b/>
          <w:bCs/>
        </w:rPr>
        <w:t>ONLY</w:t>
      </w:r>
      <w:r w:rsidRPr="00B3698B">
        <w:t xml:space="preserve"> to residents who were </w:t>
      </w:r>
      <w:r w:rsidR="003F768F" w:rsidRPr="00B3698B">
        <w:t xml:space="preserve">directly </w:t>
      </w:r>
      <w:r w:rsidRPr="00B3698B">
        <w:t xml:space="preserve">displaced </w:t>
      </w:r>
      <w:r w:rsidR="003F768F" w:rsidRPr="00B3698B">
        <w:t>by</w:t>
      </w:r>
      <w:r w:rsidRPr="00B3698B">
        <w:t xml:space="preserve"> the July 2025 floods </w:t>
      </w:r>
      <w:r w:rsidR="003F768F" w:rsidRPr="00B3698B">
        <w:rPr>
          <w:b/>
          <w:bCs/>
        </w:rPr>
        <w:t>AND</w:t>
      </w:r>
      <w:r w:rsidRPr="00B3698B">
        <w:t xml:space="preserve"> who reside in the following counties:</w:t>
      </w:r>
    </w:p>
    <w:p w14:paraId="5D77997C" w14:textId="77777777" w:rsidR="009F5A1A" w:rsidRPr="009F5A1A" w:rsidRDefault="009F5A1A" w:rsidP="009F5A1A">
      <w:r w:rsidRPr="009F5A1A">
        <w:t>Bandera, Bexar, Burnet, Caldwell, Coke, Comal, Concho, Gillespie, Guadalupe, Kendall, Kerr, Kimble, Llano, Mason, McCulloch, Menard, Reeves, San Saba, Tom Green, Travis, and Williamson</w:t>
      </w:r>
    </w:p>
    <w:p w14:paraId="46478553" w14:textId="77777777" w:rsidR="009F5A1A" w:rsidRPr="00150857" w:rsidRDefault="009F5A1A" w:rsidP="00150857">
      <w:pPr>
        <w:rPr>
          <w:sz w:val="20"/>
          <w:szCs w:val="20"/>
        </w:rPr>
      </w:pPr>
    </w:p>
    <w:sectPr w:rsidR="009F5A1A" w:rsidRPr="00150857" w:rsidSect="00150857">
      <w:headerReference w:type="default" r:id="rId7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3AF1" w14:textId="77777777" w:rsidR="000F06AB" w:rsidRDefault="000F06AB" w:rsidP="000F06AB">
      <w:pPr>
        <w:spacing w:after="0" w:line="240" w:lineRule="auto"/>
      </w:pPr>
      <w:r>
        <w:separator/>
      </w:r>
    </w:p>
  </w:endnote>
  <w:endnote w:type="continuationSeparator" w:id="0">
    <w:p w14:paraId="219267E6" w14:textId="77777777" w:rsidR="000F06AB" w:rsidRDefault="000F06AB" w:rsidP="000F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2094" w14:textId="77777777" w:rsidR="000F06AB" w:rsidRDefault="000F06AB" w:rsidP="000F06AB">
      <w:pPr>
        <w:spacing w:after="0" w:line="240" w:lineRule="auto"/>
      </w:pPr>
      <w:r>
        <w:separator/>
      </w:r>
    </w:p>
  </w:footnote>
  <w:footnote w:type="continuationSeparator" w:id="0">
    <w:p w14:paraId="7B67B4DA" w14:textId="77777777" w:rsidR="000F06AB" w:rsidRDefault="000F06AB" w:rsidP="000F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A3C5" w14:textId="74C7DE9F" w:rsidR="000F06AB" w:rsidRPr="008D5526" w:rsidRDefault="008D5526" w:rsidP="008D5526">
    <w:pPr>
      <w:pStyle w:val="Header"/>
      <w:jc w:val="center"/>
      <w:rPr>
        <w:b/>
        <w:bCs/>
      </w:rPr>
    </w:pPr>
    <w:r w:rsidRPr="008D552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2B46AAE" wp14:editId="7CB4D504">
          <wp:simplePos x="0" y="0"/>
          <wp:positionH relativeFrom="margin">
            <wp:posOffset>1301572</wp:posOffset>
          </wp:positionH>
          <wp:positionV relativeFrom="paragraph">
            <wp:posOffset>-106883</wp:posOffset>
          </wp:positionV>
          <wp:extent cx="1082650" cy="419402"/>
          <wp:effectExtent l="0" t="0" r="3810" b="0"/>
          <wp:wrapNone/>
          <wp:docPr id="20" name="Picture 20" descr="Logo from J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rom J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50" cy="419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6AB" w:rsidRPr="008D5526">
      <w:rPr>
        <w:b/>
        <w:bCs/>
      </w:rPr>
      <w:t xml:space="preserve">HUD Waivers – TBRA </w:t>
    </w:r>
    <w:r w:rsidR="0053578D" w:rsidRPr="008D5526">
      <w:rPr>
        <w:b/>
        <w:bCs/>
      </w:rPr>
      <w:t>DR-4879 Waivers and Suspensions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5F1AE"/>
    <w:multiLevelType w:val="hybridMultilevel"/>
    <w:tmpl w:val="32DD47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1FB3DA"/>
    <w:multiLevelType w:val="hybridMultilevel"/>
    <w:tmpl w:val="D60C5B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C588E"/>
    <w:multiLevelType w:val="multilevel"/>
    <w:tmpl w:val="32BCDB44"/>
    <w:styleLink w:val="NOFANumbering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2A65"/>
    <w:multiLevelType w:val="hybridMultilevel"/>
    <w:tmpl w:val="4486D9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76A8BE"/>
    <w:multiLevelType w:val="hybridMultilevel"/>
    <w:tmpl w:val="E72DB8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44112658">
    <w:abstractNumId w:val="2"/>
  </w:num>
  <w:num w:numId="2" w16cid:durableId="1819806956">
    <w:abstractNumId w:val="1"/>
  </w:num>
  <w:num w:numId="3" w16cid:durableId="1411806029">
    <w:abstractNumId w:val="0"/>
  </w:num>
  <w:num w:numId="4" w16cid:durableId="487328594">
    <w:abstractNumId w:val="3"/>
  </w:num>
  <w:num w:numId="5" w16cid:durableId="157076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65"/>
    <w:rsid w:val="000F05BF"/>
    <w:rsid w:val="000F06AB"/>
    <w:rsid w:val="0010154C"/>
    <w:rsid w:val="001107E8"/>
    <w:rsid w:val="001348E2"/>
    <w:rsid w:val="00141140"/>
    <w:rsid w:val="00150857"/>
    <w:rsid w:val="00171D67"/>
    <w:rsid w:val="001F4123"/>
    <w:rsid w:val="00236D01"/>
    <w:rsid w:val="0025380F"/>
    <w:rsid w:val="00255D3F"/>
    <w:rsid w:val="00260FBA"/>
    <w:rsid w:val="002775DD"/>
    <w:rsid w:val="00291A0E"/>
    <w:rsid w:val="002A71E0"/>
    <w:rsid w:val="002D2A79"/>
    <w:rsid w:val="00304208"/>
    <w:rsid w:val="00317E93"/>
    <w:rsid w:val="00320EE0"/>
    <w:rsid w:val="00331EDB"/>
    <w:rsid w:val="00347958"/>
    <w:rsid w:val="00393DE5"/>
    <w:rsid w:val="003A4272"/>
    <w:rsid w:val="003A5921"/>
    <w:rsid w:val="003B03A8"/>
    <w:rsid w:val="003B631B"/>
    <w:rsid w:val="003F768F"/>
    <w:rsid w:val="004104F6"/>
    <w:rsid w:val="00426F47"/>
    <w:rsid w:val="004412D2"/>
    <w:rsid w:val="004558B9"/>
    <w:rsid w:val="004A197C"/>
    <w:rsid w:val="004D5090"/>
    <w:rsid w:val="004F378F"/>
    <w:rsid w:val="004F5435"/>
    <w:rsid w:val="00511A2E"/>
    <w:rsid w:val="0053578D"/>
    <w:rsid w:val="005963DC"/>
    <w:rsid w:val="005A7C1A"/>
    <w:rsid w:val="005B3A8E"/>
    <w:rsid w:val="005D35A2"/>
    <w:rsid w:val="005F40A1"/>
    <w:rsid w:val="006235AC"/>
    <w:rsid w:val="00630336"/>
    <w:rsid w:val="00631E01"/>
    <w:rsid w:val="00642EC7"/>
    <w:rsid w:val="00652E9C"/>
    <w:rsid w:val="00672F14"/>
    <w:rsid w:val="006B29F9"/>
    <w:rsid w:val="006C75D2"/>
    <w:rsid w:val="00770FC8"/>
    <w:rsid w:val="00773DB6"/>
    <w:rsid w:val="007C2406"/>
    <w:rsid w:val="007D3C8D"/>
    <w:rsid w:val="007D57BF"/>
    <w:rsid w:val="00834F00"/>
    <w:rsid w:val="00866278"/>
    <w:rsid w:val="008A3AA8"/>
    <w:rsid w:val="008B266C"/>
    <w:rsid w:val="008D12AA"/>
    <w:rsid w:val="008D5526"/>
    <w:rsid w:val="008E3D9C"/>
    <w:rsid w:val="00940385"/>
    <w:rsid w:val="0097379D"/>
    <w:rsid w:val="00974F84"/>
    <w:rsid w:val="009D2437"/>
    <w:rsid w:val="009D6F82"/>
    <w:rsid w:val="009F5A1A"/>
    <w:rsid w:val="00A03B23"/>
    <w:rsid w:val="00A45E8B"/>
    <w:rsid w:val="00A664B1"/>
    <w:rsid w:val="00A8420C"/>
    <w:rsid w:val="00A8706C"/>
    <w:rsid w:val="00A9101F"/>
    <w:rsid w:val="00A957D8"/>
    <w:rsid w:val="00AA195A"/>
    <w:rsid w:val="00AA1A31"/>
    <w:rsid w:val="00AC3517"/>
    <w:rsid w:val="00AD0323"/>
    <w:rsid w:val="00B3698B"/>
    <w:rsid w:val="00B647CB"/>
    <w:rsid w:val="00BB224C"/>
    <w:rsid w:val="00BF02C7"/>
    <w:rsid w:val="00C02F43"/>
    <w:rsid w:val="00C43553"/>
    <w:rsid w:val="00C64419"/>
    <w:rsid w:val="00C67272"/>
    <w:rsid w:val="00C70D41"/>
    <w:rsid w:val="00C739D5"/>
    <w:rsid w:val="00C91B22"/>
    <w:rsid w:val="00C96BF6"/>
    <w:rsid w:val="00CB030C"/>
    <w:rsid w:val="00CB3C09"/>
    <w:rsid w:val="00CF3CDE"/>
    <w:rsid w:val="00D05575"/>
    <w:rsid w:val="00D237C0"/>
    <w:rsid w:val="00D57CCF"/>
    <w:rsid w:val="00D6268D"/>
    <w:rsid w:val="00D95432"/>
    <w:rsid w:val="00DC4F50"/>
    <w:rsid w:val="00DF5673"/>
    <w:rsid w:val="00E41652"/>
    <w:rsid w:val="00E94397"/>
    <w:rsid w:val="00F132DC"/>
    <w:rsid w:val="00F41964"/>
    <w:rsid w:val="00F767A5"/>
    <w:rsid w:val="00F80665"/>
    <w:rsid w:val="00F9212A"/>
    <w:rsid w:val="00FA7A96"/>
    <w:rsid w:val="00FD662D"/>
    <w:rsid w:val="00FE4BCB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9728"/>
  <w15:chartTrackingRefBased/>
  <w15:docId w15:val="{D9B1F2D0-D7E1-48A2-8D02-B6E0EA9D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FANumbering">
    <w:name w:val="NOFA Numbering"/>
    <w:uiPriority w:val="99"/>
    <w:rsid w:val="003B03A8"/>
    <w:pPr>
      <w:numPr>
        <w:numId w:val="1"/>
      </w:numPr>
    </w:pPr>
  </w:style>
  <w:style w:type="table" w:styleId="TableGrid">
    <w:name w:val="Table Grid"/>
    <w:basedOn w:val="TableNormal"/>
    <w:uiPriority w:val="59"/>
    <w:rsid w:val="00F8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AB"/>
  </w:style>
  <w:style w:type="paragraph" w:styleId="Footer">
    <w:name w:val="footer"/>
    <w:basedOn w:val="Normal"/>
    <w:link w:val="FooterChar"/>
    <w:uiPriority w:val="99"/>
    <w:unhideWhenUsed/>
    <w:rsid w:val="000F0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AB"/>
  </w:style>
  <w:style w:type="paragraph" w:customStyle="1" w:styleId="Default">
    <w:name w:val="Default"/>
    <w:rsid w:val="005D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2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4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Versyp</dc:creator>
  <cp:keywords/>
  <dc:description/>
  <cp:lastModifiedBy>Abigail Versyp</cp:lastModifiedBy>
  <cp:revision>14</cp:revision>
  <dcterms:created xsi:type="dcterms:W3CDTF">2025-08-12T19:23:00Z</dcterms:created>
  <dcterms:modified xsi:type="dcterms:W3CDTF">2025-08-19T18:51:00Z</dcterms:modified>
</cp:coreProperties>
</file>