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ECCB" w14:textId="77777777" w:rsidR="000A6459" w:rsidRPr="00363EC4" w:rsidRDefault="000A6459" w:rsidP="000A6459">
      <w:pPr>
        <w:suppressAutoHyphens w:val="0"/>
        <w:jc w:val="left"/>
        <w:rPr>
          <w:rFonts w:ascii="Times New Roman" w:hAnsi="Times New Roman" w:cs="Times New Roman"/>
          <w:b/>
          <w:bCs/>
          <w:noProof/>
          <w:kern w:val="1"/>
          <w:szCs w:val="24"/>
          <w:lang w:eastAsia="en-US"/>
        </w:rPr>
      </w:pPr>
    </w:p>
    <w:p w14:paraId="1A161A3E" w14:textId="77777777" w:rsidR="000A6459" w:rsidRPr="00363EC4" w:rsidRDefault="000A6459" w:rsidP="000A6459">
      <w:pPr>
        <w:pStyle w:val="Heading1"/>
        <w:spacing w:before="0" w:after="0"/>
        <w:rPr>
          <w:rFonts w:ascii="Times New Roman" w:hAnsi="Times New Roman" w:cs="Times New Roman"/>
          <w:sz w:val="24"/>
          <w:szCs w:val="24"/>
        </w:rPr>
      </w:pPr>
      <w:r w:rsidRPr="00363EC4">
        <w:rPr>
          <w:rFonts w:ascii="Times New Roman" w:hAnsi="Times New Roman" w:cs="Times New Roman"/>
          <w:noProof/>
          <w:sz w:val="24"/>
          <w:szCs w:val="24"/>
          <w:lang w:eastAsia="en-US"/>
        </w:rPr>
        <w:t xml:space="preserve"> </w:t>
      </w:r>
      <w:r w:rsidRPr="00363EC4">
        <w:rPr>
          <w:rFonts w:cs="Times New Roman"/>
          <w:noProof/>
          <w:sz w:val="24"/>
          <w:szCs w:val="24"/>
          <w:lang w:eastAsia="en-US"/>
        </w:rPr>
        <w:drawing>
          <wp:inline distT="0" distB="0" distL="0" distR="0" wp14:anchorId="06480CF8" wp14:editId="152639DF">
            <wp:extent cx="1493520" cy="1493520"/>
            <wp:effectExtent l="19050" t="0" r="0" b="0"/>
            <wp:docPr id="1" name="Picture 1"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HCA logo_black"/>
                    <pic:cNvPicPr>
                      <a:picLocks noChangeAspect="1" noChangeArrowheads="1"/>
                    </pic:cNvPicPr>
                  </pic:nvPicPr>
                  <pic:blipFill>
                    <a:blip r:embed="rId8" cstate="print"/>
                    <a:srcRect/>
                    <a:stretch>
                      <a:fillRect/>
                    </a:stretch>
                  </pic:blipFill>
                  <pic:spPr bwMode="auto">
                    <a:xfrm>
                      <a:off x="0" y="0"/>
                      <a:ext cx="1493520" cy="1493520"/>
                    </a:xfrm>
                    <a:prstGeom prst="rect">
                      <a:avLst/>
                    </a:prstGeom>
                    <a:noFill/>
                    <a:ln w="9525">
                      <a:noFill/>
                      <a:miter lim="800000"/>
                      <a:headEnd/>
                      <a:tailEnd/>
                    </a:ln>
                  </pic:spPr>
                </pic:pic>
              </a:graphicData>
            </a:graphic>
          </wp:inline>
        </w:drawing>
      </w:r>
    </w:p>
    <w:p w14:paraId="5CF9759E" w14:textId="77777777" w:rsidR="000A6459" w:rsidRPr="00363EC4" w:rsidRDefault="000A6459" w:rsidP="000A6459">
      <w:pPr>
        <w:rPr>
          <w:rFonts w:ascii="Times New Roman" w:hAnsi="Times New Roman" w:cs="Times New Roman"/>
          <w:szCs w:val="24"/>
        </w:rPr>
      </w:pPr>
    </w:p>
    <w:p w14:paraId="692217F8" w14:textId="77777777" w:rsidR="000A6459" w:rsidRPr="00363EC4" w:rsidRDefault="000A6459" w:rsidP="000A6459">
      <w:pPr>
        <w:pStyle w:val="Heading1"/>
        <w:spacing w:before="0" w:after="0"/>
        <w:rPr>
          <w:rFonts w:asciiTheme="minorHAnsi" w:hAnsiTheme="minorHAnsi" w:cs="Times New Roman"/>
          <w:smallCaps/>
          <w:sz w:val="24"/>
          <w:szCs w:val="24"/>
        </w:rPr>
      </w:pPr>
      <w:r w:rsidRPr="00363EC4">
        <w:rPr>
          <w:rFonts w:asciiTheme="minorHAnsi" w:hAnsiTheme="minorHAnsi" w:cs="Times New Roman"/>
          <w:smallCaps/>
          <w:sz w:val="24"/>
          <w:szCs w:val="24"/>
        </w:rPr>
        <w:t>Texas Department of Housing and Community Affairs</w:t>
      </w:r>
    </w:p>
    <w:p w14:paraId="5BFE82AC" w14:textId="77777777" w:rsidR="000A6459" w:rsidRPr="00363EC4" w:rsidRDefault="000A6459" w:rsidP="000A6459">
      <w:pPr>
        <w:pStyle w:val="Heading2"/>
        <w:rPr>
          <w:rFonts w:asciiTheme="minorHAnsi" w:hAnsiTheme="minorHAnsi" w:cs="Times New Roman"/>
          <w:smallCaps/>
          <w:szCs w:val="24"/>
        </w:rPr>
      </w:pPr>
      <w:r w:rsidRPr="00363EC4">
        <w:rPr>
          <w:rFonts w:asciiTheme="minorHAnsi" w:hAnsiTheme="minorHAnsi" w:cs="Times New Roman"/>
          <w:smallCaps/>
          <w:szCs w:val="24"/>
        </w:rPr>
        <w:t>Multifamily Direct Loan</w:t>
      </w:r>
    </w:p>
    <w:p w14:paraId="4DE7EACF" w14:textId="3020AA71" w:rsidR="000A6459" w:rsidRPr="00363EC4" w:rsidRDefault="000A6459" w:rsidP="000A6459">
      <w:pPr>
        <w:jc w:val="center"/>
        <w:rPr>
          <w:rFonts w:asciiTheme="minorHAnsi" w:hAnsiTheme="minorHAnsi" w:cs="Times New Roman"/>
          <w:b/>
          <w:smallCaps/>
          <w:szCs w:val="24"/>
        </w:rPr>
      </w:pPr>
      <w:r>
        <w:rPr>
          <w:rFonts w:asciiTheme="minorHAnsi" w:hAnsiTheme="minorHAnsi" w:cs="Times New Roman"/>
          <w:b/>
          <w:smallCaps/>
          <w:szCs w:val="24"/>
        </w:rPr>
        <w:t>202</w:t>
      </w:r>
      <w:r w:rsidR="00E64F08">
        <w:rPr>
          <w:rFonts w:asciiTheme="minorHAnsi" w:hAnsiTheme="minorHAnsi" w:cs="Times New Roman"/>
          <w:b/>
          <w:smallCaps/>
          <w:szCs w:val="24"/>
        </w:rPr>
        <w:t>4</w:t>
      </w:r>
      <w:r w:rsidRPr="00363EC4">
        <w:rPr>
          <w:rFonts w:asciiTheme="minorHAnsi" w:hAnsiTheme="minorHAnsi" w:cs="Times New Roman"/>
          <w:b/>
          <w:smallCaps/>
          <w:szCs w:val="24"/>
        </w:rPr>
        <w:t xml:space="preserve">-1 Notice of Funding Availability (NOFA) </w:t>
      </w:r>
    </w:p>
    <w:p w14:paraId="5527D75F" w14:textId="77777777" w:rsidR="000A6459" w:rsidRPr="00363EC4" w:rsidRDefault="000A6459" w:rsidP="000A6459">
      <w:pPr>
        <w:jc w:val="center"/>
        <w:rPr>
          <w:rFonts w:asciiTheme="minorHAnsi" w:hAnsiTheme="minorHAnsi" w:cs="Times New Roman"/>
          <w:b/>
          <w:smallCaps/>
          <w:szCs w:val="24"/>
        </w:rPr>
      </w:pPr>
      <w:r w:rsidRPr="00363EC4">
        <w:rPr>
          <w:rFonts w:asciiTheme="minorHAnsi" w:hAnsiTheme="minorHAnsi" w:cs="Times New Roman"/>
          <w:b/>
          <w:smallCaps/>
          <w:szCs w:val="24"/>
        </w:rPr>
        <w:t>ANNUAL NOFA</w:t>
      </w:r>
    </w:p>
    <w:p w14:paraId="747E3EFC" w14:textId="77777777" w:rsidR="000A6459" w:rsidRDefault="000A6459" w:rsidP="000A6459">
      <w:pPr>
        <w:rPr>
          <w:rFonts w:asciiTheme="minorHAnsi" w:hAnsiTheme="minorHAnsi" w:cs="Times New Roman"/>
          <w:b/>
          <w:smallCaps/>
          <w:szCs w:val="24"/>
        </w:rPr>
      </w:pPr>
    </w:p>
    <w:p w14:paraId="2A4343D5" w14:textId="77777777" w:rsidR="00A50533" w:rsidRDefault="00A50533" w:rsidP="000A6459">
      <w:pPr>
        <w:rPr>
          <w:rFonts w:asciiTheme="minorHAnsi" w:hAnsiTheme="minorHAnsi" w:cs="Times New Roman"/>
          <w:b/>
          <w:smallCaps/>
          <w:szCs w:val="24"/>
        </w:rPr>
      </w:pPr>
    </w:p>
    <w:p w14:paraId="6074F0EA" w14:textId="77777777" w:rsidR="0005091F" w:rsidRPr="0005091F" w:rsidRDefault="00A50533" w:rsidP="00E64F08">
      <w:pPr>
        <w:numPr>
          <w:ilvl w:val="0"/>
          <w:numId w:val="3"/>
        </w:numPr>
        <w:rPr>
          <w:rFonts w:ascii="Calibri" w:hAnsi="Calibri" w:cs="Times New Roman"/>
          <w:b/>
          <w:szCs w:val="24"/>
        </w:rPr>
      </w:pPr>
      <w:r w:rsidRPr="00A50533">
        <w:rPr>
          <w:rFonts w:ascii="Calibri" w:hAnsi="Calibri" w:cs="Times New Roman"/>
          <w:b/>
          <w:szCs w:val="24"/>
        </w:rPr>
        <w:t xml:space="preserve">Summary. </w:t>
      </w:r>
      <w:r w:rsidRPr="00A50533">
        <w:rPr>
          <w:rFonts w:ascii="Calibri" w:hAnsi="Calibri" w:cs="Times New Roman"/>
          <w:szCs w:val="24"/>
        </w:rPr>
        <w:t xml:space="preserve">The Texas Department of Housing and Community Affairs (the Department) announces the availability of </w:t>
      </w:r>
      <w:r w:rsidRPr="00585D8B">
        <w:rPr>
          <w:rFonts w:ascii="Calibri" w:hAnsi="Calibri" w:cs="Times New Roman"/>
          <w:szCs w:val="24"/>
        </w:rPr>
        <w:t>$</w:t>
      </w:r>
      <w:r w:rsidR="00E64F08">
        <w:rPr>
          <w:rFonts w:ascii="Calibri" w:hAnsi="Calibri" w:cs="Times New Roman"/>
          <w:szCs w:val="24"/>
        </w:rPr>
        <w:t>20,154,797</w:t>
      </w:r>
      <w:r w:rsidRPr="0068319F" w:rsidDel="00366330">
        <w:rPr>
          <w:rFonts w:ascii="Calibri" w:hAnsi="Calibri" w:cs="Times New Roman"/>
          <w:szCs w:val="24"/>
        </w:rPr>
        <w:t xml:space="preserve"> </w:t>
      </w:r>
      <w:r w:rsidRPr="00A50533">
        <w:rPr>
          <w:rFonts w:ascii="Calibri" w:hAnsi="Calibri" w:cs="Times New Roman"/>
          <w:szCs w:val="24"/>
        </w:rPr>
        <w:t>of national Housing Trust Fund (NHTF)</w:t>
      </w:r>
      <w:r w:rsidRPr="00A50533">
        <w:rPr>
          <w:rFonts w:ascii="Calibri" w:hAnsi="Calibri" w:cs="Times New Roman"/>
          <w:szCs w:val="24"/>
          <w:vertAlign w:val="superscript"/>
        </w:rPr>
        <w:footnoteReference w:id="1"/>
      </w:r>
      <w:r w:rsidRPr="00A50533">
        <w:rPr>
          <w:rFonts w:ascii="Calibri" w:hAnsi="Calibri" w:cs="Times New Roman"/>
          <w:szCs w:val="24"/>
        </w:rPr>
        <w:t xml:space="preserve"> funding for the development of affordable multifamily rental housing for low-income Texans.  Applicants under the 202</w:t>
      </w:r>
      <w:r w:rsidR="00E64F08">
        <w:rPr>
          <w:rFonts w:ascii="Calibri" w:hAnsi="Calibri" w:cs="Times New Roman"/>
          <w:szCs w:val="24"/>
        </w:rPr>
        <w:t>4</w:t>
      </w:r>
      <w:r w:rsidRPr="00A50533">
        <w:rPr>
          <w:rFonts w:ascii="Calibri" w:hAnsi="Calibri" w:cs="Times New Roman"/>
          <w:szCs w:val="24"/>
        </w:rPr>
        <w:t xml:space="preserve">-1 NOFA will be accepted from </w:t>
      </w:r>
      <w:r w:rsidR="00E64F08">
        <w:rPr>
          <w:rFonts w:ascii="Calibri" w:hAnsi="Calibri" w:cs="Times New Roman"/>
          <w:b/>
          <w:szCs w:val="24"/>
        </w:rPr>
        <w:t>January 8, 2024</w:t>
      </w:r>
      <w:r w:rsidRPr="00A50533">
        <w:rPr>
          <w:rFonts w:ascii="Calibri" w:hAnsi="Calibri" w:cs="Times New Roman"/>
          <w:szCs w:val="24"/>
        </w:rPr>
        <w:t xml:space="preserve">, through </w:t>
      </w:r>
      <w:r w:rsidRPr="00A50533">
        <w:rPr>
          <w:rFonts w:ascii="Calibri" w:hAnsi="Calibri" w:cs="Times New Roman"/>
          <w:b/>
          <w:szCs w:val="24"/>
        </w:rPr>
        <w:t xml:space="preserve">October </w:t>
      </w:r>
      <w:r w:rsidR="00F56800">
        <w:rPr>
          <w:rFonts w:ascii="Calibri" w:hAnsi="Calibri" w:cs="Times New Roman"/>
          <w:b/>
          <w:szCs w:val="24"/>
        </w:rPr>
        <w:t>31</w:t>
      </w:r>
      <w:r w:rsidR="00E64F08">
        <w:rPr>
          <w:rFonts w:ascii="Calibri" w:hAnsi="Calibri" w:cs="Times New Roman"/>
          <w:b/>
          <w:szCs w:val="24"/>
        </w:rPr>
        <w:t>, 2024</w:t>
      </w:r>
      <w:r w:rsidR="00E64F08">
        <w:rPr>
          <w:rFonts w:ascii="Calibri" w:hAnsi="Calibri" w:cs="Times New Roman"/>
          <w:szCs w:val="24"/>
        </w:rPr>
        <w:t xml:space="preserve"> (if sufficient funds remain).  Applicants applying for 2024</w:t>
      </w:r>
      <w:r w:rsidR="005946C2">
        <w:rPr>
          <w:rFonts w:ascii="Calibri" w:hAnsi="Calibri" w:cs="Times New Roman"/>
          <w:szCs w:val="24"/>
        </w:rPr>
        <w:t xml:space="preserve"> 9% Housing Tax Credits are not eligible to apply under this NOFA</w:t>
      </w:r>
      <w:r w:rsidR="009272D6">
        <w:rPr>
          <w:rFonts w:ascii="Calibri" w:hAnsi="Calibri" w:cs="Times New Roman"/>
          <w:szCs w:val="24"/>
        </w:rPr>
        <w:t xml:space="preserve"> until August 1</w:t>
      </w:r>
      <w:r w:rsidR="005946C2">
        <w:rPr>
          <w:rFonts w:ascii="Calibri" w:hAnsi="Calibri" w:cs="Times New Roman"/>
          <w:szCs w:val="24"/>
        </w:rPr>
        <w:t>,</w:t>
      </w:r>
      <w:r w:rsidR="009272D6">
        <w:rPr>
          <w:rFonts w:ascii="Calibri" w:hAnsi="Calibri" w:cs="Times New Roman"/>
          <w:szCs w:val="24"/>
        </w:rPr>
        <w:t xml:space="preserve"> 202</w:t>
      </w:r>
      <w:r w:rsidR="00E64F08">
        <w:rPr>
          <w:rFonts w:ascii="Calibri" w:hAnsi="Calibri" w:cs="Times New Roman"/>
          <w:szCs w:val="24"/>
        </w:rPr>
        <w:t>4</w:t>
      </w:r>
      <w:r w:rsidR="005946C2">
        <w:rPr>
          <w:rFonts w:ascii="Calibri" w:hAnsi="Calibri" w:cs="Times New Roman"/>
          <w:szCs w:val="24"/>
        </w:rPr>
        <w:t xml:space="preserve">.  </w:t>
      </w:r>
    </w:p>
    <w:p w14:paraId="3B711010" w14:textId="6C8955F5" w:rsidR="0005091F" w:rsidRDefault="0005091F" w:rsidP="0005091F">
      <w:pPr>
        <w:ind w:left="720"/>
        <w:rPr>
          <w:rFonts w:ascii="Calibri" w:hAnsi="Calibri" w:cs="Times New Roman"/>
          <w:b/>
          <w:szCs w:val="24"/>
        </w:rPr>
      </w:pPr>
    </w:p>
    <w:p w14:paraId="6BB39A3A" w14:textId="1452FB4F" w:rsidR="0005091F" w:rsidRPr="0005091F" w:rsidRDefault="0005091F" w:rsidP="0005091F">
      <w:pPr>
        <w:ind w:left="720"/>
        <w:rPr>
          <w:rFonts w:ascii="Calibri" w:hAnsi="Calibri" w:cs="Times New Roman"/>
          <w:szCs w:val="24"/>
        </w:rPr>
      </w:pPr>
      <w:r>
        <w:rPr>
          <w:rFonts w:ascii="Calibri" w:hAnsi="Calibri" w:cs="Times New Roman"/>
          <w:b/>
          <w:szCs w:val="24"/>
        </w:rPr>
        <w:t>Please note:</w:t>
      </w:r>
      <w:r w:rsidR="009665ED">
        <w:rPr>
          <w:rFonts w:ascii="Calibri" w:hAnsi="Calibri" w:cs="Times New Roman"/>
          <w:szCs w:val="24"/>
        </w:rPr>
        <w:t xml:space="preserve"> the Department in</w:t>
      </w:r>
      <w:bookmarkStart w:id="0" w:name="_GoBack"/>
      <w:bookmarkEnd w:id="0"/>
      <w:r>
        <w:rPr>
          <w:rFonts w:ascii="Calibri" w:hAnsi="Calibri" w:cs="Times New Roman"/>
          <w:szCs w:val="24"/>
        </w:rPr>
        <w:t xml:space="preserve"> the process of updating its Consolidated One Year Action Plan with the United States Department of Housing and Urban Development (HUD).  Approval of this Plan is necessary prior to the acceptance of Applications under this NOFA.  If approval is delayed, the Department may revise the Application Acceptance Dates presented in this NOFA.</w:t>
      </w:r>
    </w:p>
    <w:p w14:paraId="45D08BA0" w14:textId="77777777" w:rsidR="0005091F" w:rsidRPr="0005091F" w:rsidRDefault="0005091F" w:rsidP="0005091F">
      <w:pPr>
        <w:ind w:left="720"/>
        <w:rPr>
          <w:rFonts w:ascii="Calibri" w:hAnsi="Calibri" w:cs="Times New Roman"/>
          <w:b/>
          <w:szCs w:val="24"/>
        </w:rPr>
      </w:pPr>
    </w:p>
    <w:p w14:paraId="718E06A3" w14:textId="7B820396" w:rsidR="00A50533" w:rsidRPr="00A50533" w:rsidRDefault="00A50533" w:rsidP="0005091F">
      <w:pPr>
        <w:ind w:left="720"/>
        <w:rPr>
          <w:rFonts w:ascii="Calibri" w:hAnsi="Calibri" w:cs="Times New Roman"/>
          <w:b/>
          <w:szCs w:val="24"/>
        </w:rPr>
      </w:pPr>
      <w:r w:rsidRPr="00A50533">
        <w:rPr>
          <w:rFonts w:ascii="Calibri" w:hAnsi="Calibri" w:cs="Times New Roman"/>
          <w:szCs w:val="24"/>
        </w:rPr>
        <w:t>The availability and use of these funds are subject to the following rules, as applicable:</w:t>
      </w:r>
    </w:p>
    <w:p w14:paraId="70A18742" w14:textId="77777777" w:rsidR="00A50533" w:rsidRPr="00A50533" w:rsidRDefault="00A50533" w:rsidP="00A50533">
      <w:pPr>
        <w:ind w:left="360"/>
        <w:rPr>
          <w:rFonts w:ascii="Calibri" w:hAnsi="Calibri" w:cs="Times New Roman"/>
          <w:b/>
          <w:szCs w:val="24"/>
        </w:rPr>
      </w:pPr>
    </w:p>
    <w:p w14:paraId="7FCEEC7A" w14:textId="77777777" w:rsidR="00A50533" w:rsidRPr="00A50533" w:rsidRDefault="00A50533" w:rsidP="00A50533">
      <w:pPr>
        <w:numPr>
          <w:ilvl w:val="1"/>
          <w:numId w:val="2"/>
        </w:numPr>
        <w:rPr>
          <w:rFonts w:ascii="Calibri" w:hAnsi="Calibri"/>
          <w:u w:val="single"/>
        </w:rPr>
      </w:pPr>
      <w:r w:rsidRPr="00A50533">
        <w:rPr>
          <w:rFonts w:ascii="Calibri" w:hAnsi="Calibri"/>
          <w:u w:val="single"/>
        </w:rPr>
        <w:t>Texas Administrative Code</w:t>
      </w:r>
    </w:p>
    <w:p w14:paraId="40530E1D" w14:textId="77777777" w:rsidR="00A50533" w:rsidRPr="00A50533" w:rsidRDefault="00A50533" w:rsidP="00A50533">
      <w:pPr>
        <w:ind w:left="720" w:firstLine="360"/>
        <w:rPr>
          <w:rFonts w:ascii="Calibri" w:hAnsi="Calibri" w:cs="Times New Roman"/>
          <w:szCs w:val="24"/>
        </w:rPr>
      </w:pPr>
      <w:r w:rsidRPr="00A50533">
        <w:rPr>
          <w:rFonts w:ascii="Calibri" w:hAnsi="Calibri" w:cs="Times New Roman"/>
          <w:szCs w:val="24"/>
        </w:rPr>
        <w:t>10 TAC Chapter 1 (Administration)</w:t>
      </w:r>
    </w:p>
    <w:p w14:paraId="4D5149DF" w14:textId="77777777" w:rsidR="00A50533" w:rsidRPr="00A50533" w:rsidRDefault="00A50533" w:rsidP="00A50533">
      <w:pPr>
        <w:ind w:left="720" w:firstLine="360"/>
        <w:rPr>
          <w:rFonts w:ascii="Calibri" w:hAnsi="Calibri" w:cs="Times New Roman"/>
          <w:szCs w:val="24"/>
        </w:rPr>
      </w:pPr>
      <w:r w:rsidRPr="00A50533">
        <w:rPr>
          <w:rFonts w:ascii="Calibri" w:hAnsi="Calibri" w:cs="Times New Roman"/>
          <w:szCs w:val="24"/>
        </w:rPr>
        <w:t>10 TAC Chapter 2 (Enforcement)</w:t>
      </w:r>
    </w:p>
    <w:p w14:paraId="428BD9F6" w14:textId="77777777" w:rsidR="00A50533" w:rsidRPr="00A50533" w:rsidRDefault="00A50533" w:rsidP="00A50533">
      <w:pPr>
        <w:ind w:left="720" w:firstLine="360"/>
        <w:rPr>
          <w:rFonts w:ascii="Calibri" w:hAnsi="Calibri" w:cs="Times New Roman"/>
          <w:szCs w:val="24"/>
        </w:rPr>
      </w:pPr>
      <w:r w:rsidRPr="00A50533">
        <w:rPr>
          <w:rFonts w:ascii="Calibri" w:hAnsi="Calibri" w:cs="Times New Roman"/>
          <w:szCs w:val="24"/>
        </w:rPr>
        <w:t>10 TAC Chapter 10 (Uniform Multifamily Rules)</w:t>
      </w:r>
    </w:p>
    <w:p w14:paraId="0A358611" w14:textId="77777777" w:rsidR="00A50533" w:rsidRPr="00A50533" w:rsidRDefault="00A50533" w:rsidP="00A50533">
      <w:pPr>
        <w:ind w:left="720" w:firstLine="360"/>
        <w:rPr>
          <w:rFonts w:ascii="Calibri" w:hAnsi="Calibri" w:cs="Times New Roman"/>
          <w:szCs w:val="24"/>
        </w:rPr>
      </w:pPr>
      <w:r w:rsidRPr="00A50533">
        <w:rPr>
          <w:rFonts w:ascii="Calibri" w:hAnsi="Calibri" w:cs="Times New Roman"/>
          <w:szCs w:val="24"/>
        </w:rPr>
        <w:t>10 TAC Chapter 11 (Qualified Allocation Plan)</w:t>
      </w:r>
    </w:p>
    <w:p w14:paraId="4264E988" w14:textId="77777777" w:rsidR="00A50533" w:rsidRPr="00A50533" w:rsidRDefault="00A50533" w:rsidP="00A50533">
      <w:pPr>
        <w:ind w:left="720" w:firstLine="360"/>
        <w:rPr>
          <w:rFonts w:ascii="Calibri" w:hAnsi="Calibri" w:cs="Times New Roman"/>
          <w:szCs w:val="24"/>
        </w:rPr>
      </w:pPr>
      <w:r w:rsidRPr="00A50533">
        <w:rPr>
          <w:rFonts w:ascii="Calibri" w:hAnsi="Calibri" w:cs="Times New Roman"/>
          <w:szCs w:val="24"/>
        </w:rPr>
        <w:t>10 TAC Chapter 12 (Multifamily Housing Revenue Bonds)</w:t>
      </w:r>
    </w:p>
    <w:p w14:paraId="345FD874" w14:textId="77777777" w:rsidR="00A50533" w:rsidRPr="00A50533" w:rsidRDefault="00A50533" w:rsidP="00A50533">
      <w:pPr>
        <w:ind w:left="720" w:firstLine="360"/>
        <w:jc w:val="left"/>
        <w:rPr>
          <w:rFonts w:ascii="Calibri" w:hAnsi="Calibri" w:cs="Times New Roman"/>
          <w:szCs w:val="24"/>
        </w:rPr>
      </w:pPr>
      <w:r w:rsidRPr="00A50533">
        <w:rPr>
          <w:rFonts w:ascii="Calibri" w:hAnsi="Calibri" w:cs="Times New Roman"/>
          <w:szCs w:val="24"/>
        </w:rPr>
        <w:t xml:space="preserve">10 TAC Chapter 13 (Multifamily Direct Loan Rule) </w:t>
      </w:r>
    </w:p>
    <w:p w14:paraId="5BFFB002" w14:textId="77777777" w:rsidR="00A50533" w:rsidRPr="00A50533" w:rsidRDefault="009665ED" w:rsidP="00A50533">
      <w:pPr>
        <w:ind w:left="360" w:firstLine="720"/>
        <w:rPr>
          <w:rFonts w:ascii="Calibri" w:hAnsi="Calibri" w:cs="Times New Roman"/>
          <w:szCs w:val="24"/>
        </w:rPr>
      </w:pPr>
      <w:hyperlink r:id="rId9" w:history="1">
        <w:r w:rsidR="00A50533" w:rsidRPr="00A50533">
          <w:rPr>
            <w:rFonts w:ascii="Calibri" w:hAnsi="Calibri" w:cs="Times New Roman"/>
            <w:color w:val="0000FF"/>
            <w:szCs w:val="24"/>
          </w:rPr>
          <w:t>http://texreg.sos.state.tx.us/public/readtac$ext.ViewTAC?tac_view=3&amp;ti=10&amp;pt=1</w:t>
        </w:r>
      </w:hyperlink>
    </w:p>
    <w:p w14:paraId="7B101CB5" w14:textId="77777777" w:rsidR="00A50533" w:rsidRPr="00A50533" w:rsidRDefault="00A50533" w:rsidP="00A50533">
      <w:pPr>
        <w:ind w:left="360"/>
        <w:jc w:val="left"/>
        <w:rPr>
          <w:rFonts w:ascii="Calibri" w:hAnsi="Calibri" w:cs="Times New Roman"/>
          <w:szCs w:val="24"/>
        </w:rPr>
      </w:pPr>
    </w:p>
    <w:p w14:paraId="342A3FBE" w14:textId="77777777" w:rsidR="00A50533" w:rsidRPr="00A50533" w:rsidRDefault="00A50533" w:rsidP="00A50533">
      <w:pPr>
        <w:numPr>
          <w:ilvl w:val="1"/>
          <w:numId w:val="2"/>
        </w:numPr>
        <w:rPr>
          <w:rFonts w:ascii="Calibri" w:hAnsi="Calibri"/>
          <w:u w:val="single"/>
        </w:rPr>
      </w:pPr>
      <w:r w:rsidRPr="00A50533">
        <w:rPr>
          <w:rFonts w:ascii="Calibri" w:hAnsi="Calibri"/>
          <w:u w:val="single"/>
        </w:rPr>
        <w:lastRenderedPageBreak/>
        <w:t>Texas Government Code</w:t>
      </w:r>
    </w:p>
    <w:p w14:paraId="53DC3CC1" w14:textId="77777777" w:rsidR="00A50533" w:rsidRPr="00A50533" w:rsidRDefault="00A50533" w:rsidP="00A50533">
      <w:pPr>
        <w:ind w:left="720" w:firstLine="360"/>
        <w:jc w:val="left"/>
        <w:rPr>
          <w:rFonts w:ascii="Calibri" w:hAnsi="Calibri" w:cs="Times New Roman"/>
          <w:szCs w:val="24"/>
        </w:rPr>
      </w:pPr>
      <w:r w:rsidRPr="00A50533">
        <w:rPr>
          <w:rFonts w:ascii="Calibri" w:hAnsi="Calibri" w:cs="Times New Roman"/>
          <w:szCs w:val="24"/>
        </w:rPr>
        <w:t>Tex. Gov’t. Code Chapter 2306</w:t>
      </w:r>
    </w:p>
    <w:p w14:paraId="4313A50F" w14:textId="77777777" w:rsidR="00A50533" w:rsidRPr="00A50533" w:rsidRDefault="009665ED" w:rsidP="00A50533">
      <w:pPr>
        <w:ind w:left="360" w:firstLine="720"/>
        <w:jc w:val="left"/>
        <w:rPr>
          <w:rFonts w:ascii="Calibri" w:hAnsi="Calibri" w:cs="Times New Roman"/>
          <w:i/>
          <w:szCs w:val="24"/>
        </w:rPr>
      </w:pPr>
      <w:hyperlink r:id="rId10" w:history="1">
        <w:r w:rsidR="00A50533" w:rsidRPr="00A50533">
          <w:rPr>
            <w:rFonts w:ascii="Calibri" w:hAnsi="Calibri" w:cs="Times New Roman"/>
            <w:color w:val="0000FF"/>
            <w:szCs w:val="24"/>
          </w:rPr>
          <w:t>http://www.statutes.legis.state.tx.us/Docs/GV/htm/GV.2306.htm</w:t>
        </w:r>
      </w:hyperlink>
    </w:p>
    <w:p w14:paraId="63B00E55" w14:textId="77777777" w:rsidR="00A50533" w:rsidRPr="00A50533" w:rsidRDefault="00A50533" w:rsidP="00A50533">
      <w:pPr>
        <w:jc w:val="left"/>
        <w:rPr>
          <w:rFonts w:ascii="Calibri" w:hAnsi="Calibri" w:cs="Times New Roman"/>
          <w:szCs w:val="24"/>
        </w:rPr>
      </w:pPr>
    </w:p>
    <w:p w14:paraId="7422C391" w14:textId="77777777" w:rsidR="00A50533" w:rsidRPr="00A50533" w:rsidRDefault="00A50533" w:rsidP="00A50533">
      <w:pPr>
        <w:numPr>
          <w:ilvl w:val="1"/>
          <w:numId w:val="2"/>
        </w:numPr>
        <w:tabs>
          <w:tab w:val="left" w:pos="720"/>
        </w:tabs>
        <w:jc w:val="left"/>
        <w:rPr>
          <w:rFonts w:ascii="Calibri" w:hAnsi="Calibri" w:cs="Times New Roman"/>
          <w:szCs w:val="24"/>
          <w:u w:val="single"/>
        </w:rPr>
      </w:pPr>
      <w:r w:rsidRPr="00A50533">
        <w:rPr>
          <w:rFonts w:ascii="Calibri" w:hAnsi="Calibri" w:cs="Times New Roman"/>
          <w:szCs w:val="24"/>
          <w:u w:val="single"/>
        </w:rPr>
        <w:t>U.S. Department of Housing and Urban Development (HUD) Program Regulations</w:t>
      </w:r>
    </w:p>
    <w:p w14:paraId="74B59911" w14:textId="77777777" w:rsidR="00A50533" w:rsidRPr="00A50533" w:rsidRDefault="00A50533" w:rsidP="00A50533">
      <w:pPr>
        <w:tabs>
          <w:tab w:val="left" w:pos="720"/>
        </w:tabs>
        <w:ind w:left="1080" w:hanging="990"/>
        <w:jc w:val="left"/>
        <w:rPr>
          <w:rFonts w:ascii="Calibri" w:hAnsi="Calibri" w:cs="Times New Roman"/>
          <w:szCs w:val="24"/>
        </w:rPr>
      </w:pPr>
      <w:r w:rsidRPr="00A50533">
        <w:rPr>
          <w:rFonts w:ascii="Calibri" w:hAnsi="Calibri" w:cs="Times New Roman"/>
          <w:szCs w:val="24"/>
        </w:rPr>
        <w:t xml:space="preserve">             </w:t>
      </w:r>
      <w:r w:rsidRPr="00A50533">
        <w:rPr>
          <w:rFonts w:ascii="Calibri" w:hAnsi="Calibri" w:cs="Times New Roman"/>
          <w:szCs w:val="24"/>
        </w:rPr>
        <w:tab/>
        <w:t>24 CFR Part 92 (</w:t>
      </w:r>
      <w:hyperlink r:id="rId11" w:history="1">
        <w:r w:rsidRPr="00A50533">
          <w:rPr>
            <w:rFonts w:ascii="Calibri" w:hAnsi="Calibri" w:cs="Times New Roman"/>
            <w:color w:val="0000FF"/>
            <w:szCs w:val="24"/>
            <w:u w:val="single"/>
          </w:rPr>
          <w:t>HOME Investment Partnerships Program Final Rule</w:t>
        </w:r>
      </w:hyperlink>
      <w:r w:rsidRPr="00A50533">
        <w:rPr>
          <w:rFonts w:ascii="Calibri" w:hAnsi="Calibri" w:cs="Times New Roman"/>
          <w:szCs w:val="24"/>
        </w:rPr>
        <w:t>)</w:t>
      </w:r>
    </w:p>
    <w:p w14:paraId="75BE2A11" w14:textId="77777777" w:rsidR="00A50533" w:rsidRPr="00A50533" w:rsidRDefault="00A50533" w:rsidP="00A50533">
      <w:pPr>
        <w:tabs>
          <w:tab w:val="left" w:pos="720"/>
        </w:tabs>
        <w:ind w:left="1080" w:hanging="1080"/>
        <w:jc w:val="left"/>
        <w:rPr>
          <w:rFonts w:ascii="Calibri" w:hAnsi="Calibri" w:cs="Times New Roman"/>
          <w:szCs w:val="24"/>
        </w:rPr>
      </w:pPr>
      <w:r w:rsidRPr="00A50533">
        <w:rPr>
          <w:rFonts w:ascii="Calibri" w:hAnsi="Calibri" w:cs="Times New Roman"/>
          <w:szCs w:val="24"/>
        </w:rPr>
        <w:t xml:space="preserve">             </w:t>
      </w:r>
      <w:r w:rsidRPr="00A50533">
        <w:rPr>
          <w:rFonts w:ascii="Calibri" w:hAnsi="Calibri" w:cs="Times New Roman"/>
          <w:szCs w:val="24"/>
        </w:rPr>
        <w:tab/>
      </w:r>
      <w:r w:rsidRPr="00A50533">
        <w:rPr>
          <w:rFonts w:ascii="Calibri" w:hAnsi="Calibri" w:cs="Times New Roman"/>
          <w:szCs w:val="24"/>
        </w:rPr>
        <w:tab/>
        <w:t>24 CFR Part 93 (</w:t>
      </w:r>
      <w:hyperlink r:id="rId12" w:history="1">
        <w:r w:rsidRPr="00A50533">
          <w:rPr>
            <w:rFonts w:ascii="Calibri" w:hAnsi="Calibri" w:cs="Times New Roman"/>
            <w:color w:val="0000FF"/>
            <w:szCs w:val="24"/>
            <w:u w:val="single"/>
          </w:rPr>
          <w:t>Housing Trust Fund Interim Rule</w:t>
        </w:r>
      </w:hyperlink>
      <w:r w:rsidRPr="00A50533">
        <w:rPr>
          <w:rFonts w:ascii="Calibri" w:hAnsi="Calibri" w:cs="Times New Roman"/>
          <w:szCs w:val="24"/>
        </w:rPr>
        <w:t>)</w:t>
      </w:r>
    </w:p>
    <w:p w14:paraId="1B60C8FC" w14:textId="77777777" w:rsidR="00A50533" w:rsidRPr="00A50533" w:rsidRDefault="00A50533" w:rsidP="00A50533">
      <w:pPr>
        <w:jc w:val="left"/>
        <w:rPr>
          <w:rFonts w:ascii="Calibri" w:hAnsi="Calibri" w:cs="Times New Roman"/>
          <w:szCs w:val="24"/>
        </w:rPr>
      </w:pPr>
    </w:p>
    <w:p w14:paraId="6B0B3A4B" w14:textId="77777777" w:rsidR="00A50533" w:rsidRPr="00A50533" w:rsidRDefault="00A50533" w:rsidP="00A50533">
      <w:pPr>
        <w:numPr>
          <w:ilvl w:val="1"/>
          <w:numId w:val="2"/>
        </w:numPr>
        <w:tabs>
          <w:tab w:val="left" w:pos="720"/>
        </w:tabs>
        <w:rPr>
          <w:rFonts w:ascii="Calibri" w:hAnsi="Calibri" w:cs="Times New Roman"/>
          <w:szCs w:val="24"/>
        </w:rPr>
      </w:pPr>
      <w:r w:rsidRPr="00A50533">
        <w:rPr>
          <w:rFonts w:ascii="Calibri" w:hAnsi="Calibri" w:cs="Times New Roman"/>
          <w:szCs w:val="24"/>
          <w:u w:val="single"/>
        </w:rPr>
        <w:t>Fair Housing</w:t>
      </w:r>
    </w:p>
    <w:p w14:paraId="28C84BC7" w14:textId="77777777" w:rsidR="00A50533" w:rsidRPr="00A50533" w:rsidRDefault="00A50533" w:rsidP="00A50533">
      <w:pPr>
        <w:tabs>
          <w:tab w:val="left" w:pos="720"/>
        </w:tabs>
        <w:ind w:left="1080" w:hanging="1080"/>
        <w:rPr>
          <w:rFonts w:ascii="Calibri" w:hAnsi="Calibri" w:cs="Times New Roman"/>
          <w:szCs w:val="24"/>
        </w:rPr>
      </w:pPr>
      <w:r w:rsidRPr="00A50533">
        <w:rPr>
          <w:rFonts w:ascii="Calibri" w:hAnsi="Calibri" w:cs="Times New Roman"/>
          <w:szCs w:val="24"/>
        </w:rPr>
        <w:t xml:space="preserve">           </w:t>
      </w:r>
      <w:r w:rsidRPr="00A50533">
        <w:rPr>
          <w:rFonts w:ascii="Calibri" w:hAnsi="Calibri" w:cs="Times New Roman"/>
          <w:szCs w:val="24"/>
        </w:rPr>
        <w:tab/>
      </w:r>
      <w:r w:rsidRPr="00A50533">
        <w:rPr>
          <w:rFonts w:ascii="Calibri" w:hAnsi="Calibri" w:cs="Times New Roman"/>
          <w:szCs w:val="24"/>
        </w:rPr>
        <w:tab/>
        <w:t>Federal Fair Housing Act, 42 U.S.C. 3601-19.</w:t>
      </w:r>
    </w:p>
    <w:p w14:paraId="270FE6F0" w14:textId="77777777" w:rsidR="00A50533" w:rsidRPr="00A50533" w:rsidRDefault="00A50533" w:rsidP="00A50533">
      <w:pPr>
        <w:tabs>
          <w:tab w:val="left" w:pos="720"/>
        </w:tabs>
        <w:ind w:left="1080" w:hanging="1080"/>
        <w:rPr>
          <w:rFonts w:ascii="Calibri" w:hAnsi="Calibri" w:cs="Times New Roman"/>
          <w:szCs w:val="24"/>
        </w:rPr>
      </w:pPr>
      <w:r w:rsidRPr="00A50533">
        <w:rPr>
          <w:rFonts w:ascii="Calibri" w:hAnsi="Calibri" w:cs="Times New Roman"/>
          <w:szCs w:val="24"/>
        </w:rPr>
        <w:tab/>
      </w:r>
      <w:r w:rsidRPr="00A50533">
        <w:rPr>
          <w:rFonts w:ascii="Calibri" w:hAnsi="Calibri" w:cs="Times New Roman"/>
          <w:szCs w:val="24"/>
        </w:rPr>
        <w:tab/>
      </w:r>
      <w:hyperlink r:id="rId13" w:history="1">
        <w:r w:rsidRPr="00A50533">
          <w:rPr>
            <w:rFonts w:ascii="Calibri" w:hAnsi="Calibri" w:cs="Times New Roman"/>
            <w:color w:val="0000FF"/>
            <w:szCs w:val="24"/>
            <w:lang w:eastAsia="en-US"/>
          </w:rPr>
          <w:t>https://www.tdhca.state.tx.us/fair-housing/index.htm</w:t>
        </w:r>
      </w:hyperlink>
    </w:p>
    <w:p w14:paraId="281B5044" w14:textId="77777777" w:rsidR="00A50533" w:rsidRPr="00A50533" w:rsidRDefault="00A50533" w:rsidP="00A50533">
      <w:pPr>
        <w:rPr>
          <w:rFonts w:ascii="Calibri" w:hAnsi="Calibri" w:cs="Times New Roman"/>
          <w:szCs w:val="24"/>
        </w:rPr>
      </w:pPr>
    </w:p>
    <w:p w14:paraId="3AE31AB1" w14:textId="77777777" w:rsidR="00A50533" w:rsidRPr="00A50533" w:rsidRDefault="00A50533" w:rsidP="00A50533">
      <w:pPr>
        <w:numPr>
          <w:ilvl w:val="1"/>
          <w:numId w:val="2"/>
        </w:numPr>
        <w:rPr>
          <w:rFonts w:ascii="Calibri" w:hAnsi="Calibri" w:cs="Times New Roman"/>
          <w:szCs w:val="24"/>
        </w:rPr>
      </w:pPr>
      <w:r w:rsidRPr="00A50533">
        <w:rPr>
          <w:rFonts w:ascii="Calibri" w:hAnsi="Calibri" w:cs="Times New Roman"/>
          <w:szCs w:val="24"/>
        </w:rPr>
        <w:t>Other Federal laws and regulations may that apply depending on funding source:</w:t>
      </w:r>
    </w:p>
    <w:p w14:paraId="3583D7E9" w14:textId="77777777" w:rsidR="00A50533" w:rsidRPr="00A50533" w:rsidRDefault="00A50533" w:rsidP="00A50533">
      <w:pPr>
        <w:ind w:firstLine="720"/>
        <w:rPr>
          <w:rFonts w:ascii="Calibri" w:hAnsi="Calibri" w:cs="Times New Roman"/>
          <w:szCs w:val="24"/>
        </w:rPr>
      </w:pPr>
    </w:p>
    <w:p w14:paraId="1DFED6CB" w14:textId="77777777" w:rsidR="00A50533" w:rsidRPr="00A50533" w:rsidRDefault="00A50533" w:rsidP="00A50533">
      <w:pPr>
        <w:ind w:left="1080" w:hanging="1080"/>
        <w:rPr>
          <w:rFonts w:ascii="Calibri" w:hAnsi="Calibri" w:cs="Arial"/>
          <w:sz w:val="20"/>
          <w:szCs w:val="20"/>
          <w:u w:val="single"/>
        </w:rPr>
      </w:pPr>
      <w:r w:rsidRPr="00A50533">
        <w:rPr>
          <w:rFonts w:ascii="Calibri" w:hAnsi="Calibri" w:cs="Times New Roman"/>
          <w:szCs w:val="24"/>
        </w:rPr>
        <w:t xml:space="preserve">    </w:t>
      </w:r>
      <w:r w:rsidRPr="00A50533">
        <w:rPr>
          <w:rFonts w:ascii="Calibri" w:hAnsi="Calibri" w:cs="Times New Roman"/>
          <w:b/>
          <w:szCs w:val="24"/>
        </w:rPr>
        <w:t xml:space="preserve">         </w:t>
      </w:r>
      <w:r w:rsidRPr="00A50533">
        <w:rPr>
          <w:rFonts w:ascii="Calibri" w:hAnsi="Calibri" w:cs="Times New Roman"/>
          <w:b/>
          <w:szCs w:val="24"/>
        </w:rPr>
        <w:tab/>
      </w:r>
      <w:r w:rsidRPr="00A50533">
        <w:rPr>
          <w:rFonts w:ascii="Calibri" w:hAnsi="Calibri" w:cs="Times New Roman"/>
          <w:szCs w:val="24"/>
          <w:u w:val="single"/>
        </w:rPr>
        <w:t>Environmental Compliance</w:t>
      </w:r>
    </w:p>
    <w:p w14:paraId="5482F8B8" w14:textId="77777777" w:rsidR="00A50533" w:rsidRPr="00A50533" w:rsidRDefault="00A50533" w:rsidP="00A50533">
      <w:pPr>
        <w:ind w:left="1080"/>
        <w:rPr>
          <w:rFonts w:ascii="Calibri" w:hAnsi="Calibri" w:cs="Times New Roman"/>
          <w:szCs w:val="24"/>
        </w:rPr>
      </w:pPr>
      <w:r w:rsidRPr="00A50533">
        <w:rPr>
          <w:rFonts w:ascii="Calibri" w:hAnsi="Calibri" w:cs="Times New Roman"/>
          <w:szCs w:val="24"/>
        </w:rPr>
        <w:t>All federal sources must have some type of environmental review in accordance with 24 CFR Part 93 or 24 CFR Part 58 as applicable.</w:t>
      </w:r>
    </w:p>
    <w:p w14:paraId="3F8C95EB" w14:textId="77777777" w:rsidR="00A50533" w:rsidRPr="00A50533" w:rsidRDefault="00A50533" w:rsidP="00A50533">
      <w:pPr>
        <w:ind w:left="1080" w:hanging="1080"/>
        <w:contextualSpacing/>
        <w:rPr>
          <w:rFonts w:ascii="Calibri" w:hAnsi="Calibri" w:cs="Times New Roman"/>
          <w:szCs w:val="24"/>
          <w:lang w:eastAsia="en-US"/>
        </w:rPr>
      </w:pPr>
      <w:r w:rsidRPr="00A50533">
        <w:rPr>
          <w:rFonts w:ascii="Calibri" w:hAnsi="Calibri" w:cs="Times New Roman"/>
          <w:szCs w:val="24"/>
          <w:lang w:eastAsia="en-US"/>
        </w:rPr>
        <w:t xml:space="preserve">   </w:t>
      </w:r>
      <w:r w:rsidRPr="00A50533">
        <w:rPr>
          <w:rFonts w:ascii="Calibri" w:hAnsi="Calibri" w:cs="Times New Roman"/>
          <w:szCs w:val="24"/>
          <w:lang w:eastAsia="en-US"/>
        </w:rPr>
        <w:tab/>
      </w:r>
      <w:hyperlink r:id="rId14" w:history="1">
        <w:r w:rsidRPr="00A50533">
          <w:rPr>
            <w:rFonts w:ascii="Calibri" w:hAnsi="Calibri" w:cs="Times New Roman"/>
            <w:color w:val="0000FF"/>
            <w:szCs w:val="24"/>
            <w:lang w:eastAsia="en-US"/>
          </w:rPr>
          <w:t>https://www.tdhca.state.tx.us/program-services/environmental/index.htm</w:t>
        </w:r>
      </w:hyperlink>
    </w:p>
    <w:p w14:paraId="0F602181" w14:textId="77777777" w:rsidR="00A50533" w:rsidRPr="00A50533" w:rsidRDefault="00A50533" w:rsidP="00A50533">
      <w:pPr>
        <w:ind w:left="1080" w:hanging="1080"/>
        <w:rPr>
          <w:rFonts w:ascii="Calibri" w:hAnsi="Calibri" w:cs="Times New Roman"/>
          <w:szCs w:val="24"/>
        </w:rPr>
      </w:pPr>
      <w:r w:rsidRPr="00A50533">
        <w:rPr>
          <w:rFonts w:ascii="Calibri" w:hAnsi="Calibri" w:cs="Times New Roman"/>
          <w:szCs w:val="24"/>
        </w:rPr>
        <w:t xml:space="preserve">            </w:t>
      </w:r>
    </w:p>
    <w:p w14:paraId="75F21020" w14:textId="77777777" w:rsidR="00A50533" w:rsidRPr="00A50533" w:rsidRDefault="00A50533" w:rsidP="00A50533">
      <w:pPr>
        <w:ind w:left="1080" w:hanging="1080"/>
        <w:rPr>
          <w:rFonts w:ascii="Calibri" w:hAnsi="Calibri" w:cs="Times New Roman"/>
          <w:szCs w:val="24"/>
          <w:u w:val="single"/>
        </w:rPr>
      </w:pPr>
      <w:r w:rsidRPr="00A50533">
        <w:rPr>
          <w:rFonts w:ascii="Calibri" w:hAnsi="Calibri" w:cs="Times New Roman"/>
          <w:szCs w:val="24"/>
        </w:rPr>
        <w:t xml:space="preserve">            </w:t>
      </w:r>
      <w:r w:rsidRPr="00A50533">
        <w:rPr>
          <w:rFonts w:ascii="Calibri" w:hAnsi="Calibri" w:cs="Times New Roman"/>
          <w:szCs w:val="24"/>
        </w:rPr>
        <w:tab/>
      </w:r>
      <w:r w:rsidRPr="00A50533">
        <w:rPr>
          <w:rFonts w:ascii="Calibri" w:hAnsi="Calibri" w:cs="Times New Roman"/>
          <w:szCs w:val="24"/>
          <w:u w:val="single"/>
        </w:rPr>
        <w:t xml:space="preserve">Minimizing Resident Displacement         </w:t>
      </w:r>
    </w:p>
    <w:p w14:paraId="626199A7" w14:textId="77777777" w:rsidR="00A50533" w:rsidRPr="00A50533" w:rsidRDefault="00A50533" w:rsidP="00A50533">
      <w:pPr>
        <w:ind w:left="1080"/>
        <w:rPr>
          <w:rFonts w:ascii="Calibri" w:hAnsi="Calibri" w:cs="Times New Roman"/>
          <w:szCs w:val="24"/>
        </w:rPr>
      </w:pPr>
      <w:r w:rsidRPr="00A50533">
        <w:rPr>
          <w:rFonts w:ascii="Calibri" w:hAnsi="Calibri" w:cs="Times New Roman"/>
          <w:szCs w:val="24"/>
        </w:rPr>
        <w:t>All federal sources must follow the Uniform Relocation Assistance and Real Property Acquisition Policies Act of 1970; HOME must follow Section 104(d) of Housing and Community Development Act of 1974; and all federal sources must follow the HUD Handbook 1378.</w:t>
      </w:r>
    </w:p>
    <w:p w14:paraId="55508996" w14:textId="77777777" w:rsidR="00A50533" w:rsidRPr="00A50533" w:rsidRDefault="009665ED" w:rsidP="00A50533">
      <w:pPr>
        <w:ind w:left="1080"/>
        <w:contextualSpacing/>
        <w:rPr>
          <w:rFonts w:ascii="Calibri" w:hAnsi="Calibri" w:cs="Times New Roman"/>
          <w:szCs w:val="24"/>
          <w:u w:val="single"/>
          <w:lang w:eastAsia="en-US"/>
        </w:rPr>
      </w:pPr>
      <w:hyperlink r:id="rId15" w:history="1">
        <w:r w:rsidR="00A50533" w:rsidRPr="00A50533">
          <w:rPr>
            <w:rFonts w:ascii="Calibri" w:hAnsi="Calibri" w:cs="Times New Roman"/>
            <w:color w:val="0000FF"/>
            <w:szCs w:val="24"/>
            <w:lang w:eastAsia="en-US"/>
          </w:rPr>
          <w:t>https://www.tdhca.state.tx.us/program-services/ura/index.htm</w:t>
        </w:r>
      </w:hyperlink>
    </w:p>
    <w:p w14:paraId="0DBB2B3E" w14:textId="77777777" w:rsidR="00A50533" w:rsidRPr="00A50533" w:rsidRDefault="00A50533" w:rsidP="00A50533">
      <w:pPr>
        <w:ind w:left="1080" w:hanging="1080"/>
        <w:rPr>
          <w:rFonts w:ascii="Calibri" w:hAnsi="Calibri" w:cs="Times New Roman"/>
          <w:szCs w:val="24"/>
        </w:rPr>
      </w:pPr>
    </w:p>
    <w:p w14:paraId="6076A4A4" w14:textId="77777777" w:rsidR="00A50533" w:rsidRPr="00A50533" w:rsidRDefault="00A50533" w:rsidP="00A50533">
      <w:pPr>
        <w:tabs>
          <w:tab w:val="left" w:pos="720"/>
        </w:tabs>
        <w:ind w:left="1080" w:hanging="1080"/>
        <w:rPr>
          <w:rFonts w:ascii="Calibri" w:hAnsi="Calibri" w:cs="Times New Roman"/>
          <w:szCs w:val="24"/>
          <w:u w:val="single"/>
        </w:rPr>
      </w:pPr>
      <w:r w:rsidRPr="00A50533">
        <w:rPr>
          <w:rFonts w:ascii="Calibri" w:hAnsi="Calibri" w:cs="Times New Roman"/>
          <w:szCs w:val="24"/>
        </w:rPr>
        <w:t xml:space="preserve">          </w:t>
      </w:r>
      <w:r w:rsidRPr="00A50533">
        <w:rPr>
          <w:rFonts w:ascii="Calibri" w:hAnsi="Calibri" w:cs="Times New Roman"/>
          <w:szCs w:val="24"/>
        </w:rPr>
        <w:tab/>
      </w:r>
      <w:r w:rsidRPr="00A50533">
        <w:rPr>
          <w:rFonts w:ascii="Calibri" w:hAnsi="Calibri" w:cs="Times New Roman"/>
          <w:szCs w:val="24"/>
        </w:rPr>
        <w:tab/>
      </w:r>
      <w:r w:rsidRPr="00A50533">
        <w:rPr>
          <w:rFonts w:ascii="Calibri" w:hAnsi="Calibri" w:cs="Times New Roman"/>
          <w:szCs w:val="24"/>
          <w:u w:val="single"/>
        </w:rPr>
        <w:t>Labor Standards</w:t>
      </w:r>
    </w:p>
    <w:p w14:paraId="42970D7B" w14:textId="77777777" w:rsidR="00A50533" w:rsidRPr="00A50533" w:rsidRDefault="00A50533" w:rsidP="00A50533">
      <w:pPr>
        <w:ind w:left="1080"/>
        <w:rPr>
          <w:rFonts w:ascii="Calibri" w:hAnsi="Calibri" w:cs="Times New Roman"/>
          <w:szCs w:val="24"/>
        </w:rPr>
      </w:pPr>
      <w:r w:rsidRPr="00A50533">
        <w:rPr>
          <w:rFonts w:ascii="Calibri" w:hAnsi="Calibri" w:cs="Times New Roman"/>
          <w:szCs w:val="24"/>
        </w:rPr>
        <w:t xml:space="preserve">HOME funds are regulated by Davis-Bacon and Related Labor Acts (40 U.S.C. §3141-3144 and 3146-3148, 24 CFR §92.354, and HUD Handbook Federal Labor Standards Compliance in Housing and Community Development Programs). </w:t>
      </w:r>
    </w:p>
    <w:p w14:paraId="37ED02B9" w14:textId="77777777" w:rsidR="00A50533" w:rsidRPr="00A50533" w:rsidRDefault="009665ED" w:rsidP="00A50533">
      <w:pPr>
        <w:ind w:left="1080"/>
        <w:rPr>
          <w:rFonts w:ascii="Calibri" w:hAnsi="Calibri" w:cs="Times New Roman"/>
          <w:szCs w:val="24"/>
        </w:rPr>
      </w:pPr>
      <w:hyperlink r:id="rId16" w:history="1">
        <w:r w:rsidR="00A50533" w:rsidRPr="00A50533">
          <w:rPr>
            <w:rFonts w:ascii="Calibri" w:hAnsi="Calibri" w:cs="Times New Roman"/>
            <w:color w:val="0000FF"/>
            <w:szCs w:val="24"/>
            <w:lang w:eastAsia="en-US"/>
          </w:rPr>
          <w:t>https://www.tdhca.state.tx.us/program-services/davis-bacon/index.htm</w:t>
        </w:r>
      </w:hyperlink>
    </w:p>
    <w:p w14:paraId="1A8E4149" w14:textId="77777777" w:rsidR="00A50533" w:rsidRPr="00A50533" w:rsidRDefault="00A50533" w:rsidP="00A50533">
      <w:pPr>
        <w:ind w:left="1080" w:hanging="1080"/>
        <w:rPr>
          <w:rFonts w:ascii="Calibri" w:hAnsi="Calibri" w:cs="Times New Roman"/>
          <w:szCs w:val="24"/>
        </w:rPr>
      </w:pPr>
      <w:r w:rsidRPr="00A50533">
        <w:rPr>
          <w:rFonts w:ascii="Calibri" w:hAnsi="Calibri" w:cs="Times New Roman"/>
          <w:b/>
          <w:szCs w:val="24"/>
        </w:rPr>
        <w:tab/>
      </w:r>
    </w:p>
    <w:p w14:paraId="5E6B4B55" w14:textId="77777777" w:rsidR="00A50533" w:rsidRPr="00A50533" w:rsidRDefault="00A50533" w:rsidP="00A50533">
      <w:pPr>
        <w:tabs>
          <w:tab w:val="left" w:pos="720"/>
        </w:tabs>
        <w:ind w:left="1080" w:hanging="1080"/>
        <w:rPr>
          <w:rFonts w:ascii="Calibri" w:hAnsi="Calibri" w:cs="Times New Roman"/>
          <w:szCs w:val="24"/>
          <w:u w:val="single"/>
        </w:rPr>
      </w:pPr>
      <w:r w:rsidRPr="00A50533">
        <w:rPr>
          <w:rFonts w:ascii="Calibri" w:hAnsi="Calibri" w:cs="Times New Roman"/>
          <w:b/>
          <w:szCs w:val="24"/>
        </w:rPr>
        <w:tab/>
      </w:r>
      <w:r w:rsidRPr="00A50533">
        <w:rPr>
          <w:rFonts w:ascii="Calibri" w:hAnsi="Calibri" w:cs="Times New Roman"/>
          <w:b/>
          <w:szCs w:val="24"/>
        </w:rPr>
        <w:tab/>
      </w:r>
      <w:r w:rsidRPr="00A50533">
        <w:rPr>
          <w:rFonts w:ascii="Calibri" w:hAnsi="Calibri" w:cs="Times New Roman"/>
          <w:szCs w:val="24"/>
          <w:u w:val="single"/>
        </w:rPr>
        <w:t xml:space="preserve">Employment Opportunities </w:t>
      </w:r>
    </w:p>
    <w:p w14:paraId="5535F676" w14:textId="08EF0181" w:rsidR="00A50533" w:rsidRPr="00A50533" w:rsidRDefault="00A50533" w:rsidP="00A50533">
      <w:pPr>
        <w:ind w:left="1080"/>
        <w:rPr>
          <w:rFonts w:ascii="Calibri" w:hAnsi="Calibri" w:cs="Times New Roman"/>
          <w:b/>
          <w:szCs w:val="24"/>
        </w:rPr>
      </w:pPr>
      <w:r w:rsidRPr="00A50533">
        <w:rPr>
          <w:rFonts w:ascii="Calibri" w:hAnsi="Calibri" w:cs="Times New Roman"/>
          <w:szCs w:val="24"/>
        </w:rPr>
        <w:t xml:space="preserve">HOME, and NHTF require compliance with 24 CFR Part </w:t>
      </w:r>
      <w:r w:rsidR="00CB2E77">
        <w:rPr>
          <w:rFonts w:ascii="Calibri" w:hAnsi="Calibri" w:cs="Times New Roman"/>
          <w:szCs w:val="24"/>
        </w:rPr>
        <w:t>75</w:t>
      </w:r>
      <w:r w:rsidR="00CB2E77" w:rsidRPr="00A50533">
        <w:rPr>
          <w:rFonts w:ascii="Calibri" w:hAnsi="Calibri" w:cs="Times New Roman"/>
          <w:szCs w:val="24"/>
        </w:rPr>
        <w:t xml:space="preserve"> </w:t>
      </w:r>
      <w:r w:rsidRPr="00A50533">
        <w:rPr>
          <w:rFonts w:ascii="Calibri" w:hAnsi="Calibri" w:cs="Times New Roman"/>
          <w:szCs w:val="24"/>
        </w:rPr>
        <w:t>(Section 3).</w:t>
      </w:r>
      <w:r w:rsidRPr="00A50533">
        <w:rPr>
          <w:rFonts w:ascii="Calibri" w:hAnsi="Calibri" w:cs="Times New Roman"/>
          <w:b/>
          <w:szCs w:val="24"/>
        </w:rPr>
        <w:t xml:space="preserve"> </w:t>
      </w:r>
    </w:p>
    <w:p w14:paraId="123CED01" w14:textId="77777777" w:rsidR="00A50533" w:rsidRPr="00463FDD" w:rsidRDefault="009665ED" w:rsidP="00463FDD">
      <w:pPr>
        <w:ind w:left="1080"/>
        <w:rPr>
          <w:rFonts w:ascii="Calibri" w:hAnsi="Calibri" w:cs="Times New Roman"/>
          <w:b/>
          <w:szCs w:val="24"/>
        </w:rPr>
      </w:pPr>
      <w:hyperlink r:id="rId17" w:history="1">
        <w:r w:rsidR="00A50533" w:rsidRPr="00A50533">
          <w:rPr>
            <w:rFonts w:ascii="Calibri" w:hAnsi="Calibri" w:cs="Times New Roman"/>
            <w:color w:val="0000FF"/>
            <w:szCs w:val="24"/>
            <w:lang w:eastAsia="en-US"/>
          </w:rPr>
          <w:t>https://www.tdhca.state.tx.us/program-services/hud-section-3/index.htm</w:t>
        </w:r>
      </w:hyperlink>
    </w:p>
    <w:p w14:paraId="465CF490" w14:textId="77777777" w:rsidR="00A50533" w:rsidRPr="00363EC4" w:rsidRDefault="00A50533" w:rsidP="000A6459">
      <w:pPr>
        <w:rPr>
          <w:rFonts w:asciiTheme="minorHAnsi" w:hAnsiTheme="minorHAnsi" w:cs="Times New Roman"/>
          <w:b/>
          <w:smallCaps/>
          <w:szCs w:val="24"/>
        </w:rPr>
      </w:pPr>
    </w:p>
    <w:p w14:paraId="771F10CD" w14:textId="383A19D3" w:rsidR="00355A31" w:rsidRPr="00E15DEB" w:rsidRDefault="00931E83" w:rsidP="00647B53">
      <w:pPr>
        <w:numPr>
          <w:ilvl w:val="0"/>
          <w:numId w:val="3"/>
        </w:numPr>
        <w:tabs>
          <w:tab w:val="left" w:pos="450"/>
        </w:tabs>
        <w:rPr>
          <w:rFonts w:ascii="Calibri" w:hAnsi="Calibri" w:cs="Times New Roman"/>
        </w:rPr>
      </w:pPr>
      <w:r w:rsidRPr="00E15DEB">
        <w:rPr>
          <w:rFonts w:ascii="Calibri" w:hAnsi="Calibri" w:cs="Times New Roman"/>
          <w:b/>
          <w:szCs w:val="24"/>
        </w:rPr>
        <w:t xml:space="preserve">Set-Asides. </w:t>
      </w:r>
      <w:r w:rsidR="00DD2F79" w:rsidRPr="00E15DEB">
        <w:rPr>
          <w:rFonts w:ascii="Calibri" w:hAnsi="Calibri" w:cs="Times New Roman"/>
          <w:szCs w:val="24"/>
        </w:rPr>
        <w:t xml:space="preserve">NHTF </w:t>
      </w:r>
      <w:r w:rsidRPr="00E15DEB">
        <w:rPr>
          <w:rFonts w:ascii="Calibri" w:hAnsi="Calibri" w:cs="Times New Roman"/>
          <w:szCs w:val="24"/>
        </w:rPr>
        <w:t>funds will be subject to</w:t>
      </w:r>
      <w:r w:rsidR="00A56EDE">
        <w:rPr>
          <w:rFonts w:ascii="Calibri" w:hAnsi="Calibri" w:cs="Times New Roman"/>
          <w:szCs w:val="24"/>
        </w:rPr>
        <w:t xml:space="preserve"> the Regional Allocation (</w:t>
      </w:r>
      <w:r w:rsidRPr="00E15DEB">
        <w:rPr>
          <w:rFonts w:ascii="Calibri" w:hAnsi="Calibri" w:cs="Times New Roman"/>
          <w:szCs w:val="24"/>
        </w:rPr>
        <w:t xml:space="preserve">located in Attachment A) </w:t>
      </w:r>
      <w:r w:rsidR="0079665D">
        <w:rPr>
          <w:rFonts w:ascii="Calibri" w:hAnsi="Calibri" w:cs="Times New Roman"/>
          <w:szCs w:val="24"/>
        </w:rPr>
        <w:t xml:space="preserve">from </w:t>
      </w:r>
      <w:r w:rsidR="00DD5090" w:rsidRPr="00144A7F">
        <w:rPr>
          <w:rFonts w:ascii="Calibri" w:hAnsi="Calibri" w:cs="Times New Roman"/>
          <w:b/>
          <w:szCs w:val="24"/>
        </w:rPr>
        <w:t xml:space="preserve">January </w:t>
      </w:r>
      <w:r w:rsidR="00144A7F" w:rsidRPr="00144A7F">
        <w:rPr>
          <w:rFonts w:ascii="Calibri" w:hAnsi="Calibri" w:cs="Times New Roman"/>
          <w:b/>
          <w:szCs w:val="24"/>
        </w:rPr>
        <w:t>8</w:t>
      </w:r>
      <w:r w:rsidR="005946C2" w:rsidRPr="00144A7F">
        <w:rPr>
          <w:rFonts w:ascii="Calibri" w:hAnsi="Calibri" w:cs="Times New Roman"/>
          <w:b/>
          <w:szCs w:val="24"/>
        </w:rPr>
        <w:t>, 202</w:t>
      </w:r>
      <w:r w:rsidR="00144A7F" w:rsidRPr="00144A7F">
        <w:rPr>
          <w:rFonts w:ascii="Calibri" w:hAnsi="Calibri" w:cs="Times New Roman"/>
          <w:b/>
          <w:szCs w:val="24"/>
        </w:rPr>
        <w:t>4</w:t>
      </w:r>
      <w:r w:rsidR="005946C2">
        <w:rPr>
          <w:rFonts w:ascii="Calibri" w:hAnsi="Calibri" w:cs="Times New Roman"/>
          <w:szCs w:val="24"/>
        </w:rPr>
        <w:t>,</w:t>
      </w:r>
      <w:r w:rsidR="0079665D">
        <w:rPr>
          <w:rFonts w:ascii="Calibri" w:hAnsi="Calibri" w:cs="Times New Roman"/>
          <w:szCs w:val="24"/>
        </w:rPr>
        <w:t xml:space="preserve"> </w:t>
      </w:r>
      <w:r w:rsidRPr="00E15DEB">
        <w:rPr>
          <w:rFonts w:ascii="Calibri" w:hAnsi="Calibri" w:cs="Times New Roman"/>
          <w:szCs w:val="24"/>
        </w:rPr>
        <w:t xml:space="preserve">until </w:t>
      </w:r>
      <w:r w:rsidR="00144A7F">
        <w:rPr>
          <w:rFonts w:ascii="Calibri" w:hAnsi="Calibri" w:cs="Times New Roman"/>
          <w:b/>
          <w:szCs w:val="24"/>
        </w:rPr>
        <w:t>February</w:t>
      </w:r>
      <w:r w:rsidR="00CB2E77" w:rsidRPr="00E15DEB">
        <w:rPr>
          <w:rFonts w:ascii="Calibri" w:hAnsi="Calibri" w:cs="Times New Roman"/>
          <w:b/>
          <w:szCs w:val="24"/>
        </w:rPr>
        <w:t xml:space="preserve"> </w:t>
      </w:r>
      <w:r w:rsidR="00144A7F">
        <w:rPr>
          <w:rFonts w:ascii="Calibri" w:hAnsi="Calibri" w:cs="Times New Roman"/>
          <w:b/>
          <w:szCs w:val="24"/>
        </w:rPr>
        <w:t>7</w:t>
      </w:r>
      <w:r w:rsidRPr="00E15DEB">
        <w:rPr>
          <w:rFonts w:ascii="Calibri" w:hAnsi="Calibri" w:cs="Times New Roman"/>
          <w:b/>
          <w:szCs w:val="24"/>
        </w:rPr>
        <w:t>, 202</w:t>
      </w:r>
      <w:r w:rsidR="00144A7F">
        <w:rPr>
          <w:rFonts w:ascii="Calibri" w:hAnsi="Calibri" w:cs="Times New Roman"/>
          <w:b/>
          <w:szCs w:val="24"/>
        </w:rPr>
        <w:t>4</w:t>
      </w:r>
      <w:r w:rsidRPr="00E15DEB">
        <w:rPr>
          <w:rFonts w:ascii="Calibri" w:hAnsi="Calibri" w:cs="Times New Roman"/>
          <w:bCs/>
          <w:szCs w:val="24"/>
        </w:rPr>
        <w:t xml:space="preserve">. </w:t>
      </w:r>
      <w:r w:rsidR="00170C17" w:rsidRPr="00E15DEB">
        <w:rPr>
          <w:rFonts w:ascii="Calibri" w:hAnsi="Calibri" w:cs="Times New Roman"/>
          <w:bCs/>
          <w:szCs w:val="24"/>
        </w:rPr>
        <w:t>Those who apply during the R</w:t>
      </w:r>
      <w:r w:rsidR="0039419E">
        <w:rPr>
          <w:rFonts w:ascii="Calibri" w:hAnsi="Calibri" w:cs="Times New Roman"/>
          <w:bCs/>
          <w:szCs w:val="24"/>
        </w:rPr>
        <w:t>egional Distribution</w:t>
      </w:r>
      <w:r w:rsidR="00170C17" w:rsidRPr="00E15DEB">
        <w:rPr>
          <w:rFonts w:ascii="Calibri" w:hAnsi="Calibri" w:cs="Times New Roman"/>
          <w:bCs/>
          <w:szCs w:val="24"/>
        </w:rPr>
        <w:t xml:space="preserve"> period must request at a minimum</w:t>
      </w:r>
      <w:r w:rsidR="00144A7F">
        <w:rPr>
          <w:rFonts w:ascii="Calibri" w:hAnsi="Calibri" w:cs="Times New Roman"/>
          <w:bCs/>
          <w:szCs w:val="24"/>
        </w:rPr>
        <w:t xml:space="preserve"> $3,670,634</w:t>
      </w:r>
      <w:r w:rsidR="00170C17" w:rsidRPr="00E15DEB">
        <w:rPr>
          <w:rFonts w:ascii="Calibri" w:hAnsi="Calibri" w:cs="Times New Roman"/>
          <w:bCs/>
          <w:szCs w:val="24"/>
        </w:rPr>
        <w:t xml:space="preserve">. </w:t>
      </w:r>
      <w:r w:rsidR="00E15DEB" w:rsidRPr="00E15DEB">
        <w:rPr>
          <w:rFonts w:ascii="Calibri" w:hAnsi="Calibri" w:cs="Times New Roman"/>
        </w:rPr>
        <w:t xml:space="preserve"> </w:t>
      </w:r>
    </w:p>
    <w:p w14:paraId="7DD4762A" w14:textId="77777777" w:rsidR="00E15DEB" w:rsidRPr="00E15DEB" w:rsidRDefault="00E15DEB" w:rsidP="00E15DEB">
      <w:pPr>
        <w:tabs>
          <w:tab w:val="left" w:pos="450"/>
        </w:tabs>
        <w:ind w:left="720"/>
        <w:rPr>
          <w:rFonts w:ascii="Calibri" w:hAnsi="Calibri" w:cs="Times New Roman"/>
          <w:b/>
        </w:rPr>
      </w:pPr>
    </w:p>
    <w:p w14:paraId="5AC62676" w14:textId="051EF313" w:rsidR="00E15DEB" w:rsidRDefault="003D5404" w:rsidP="00503209">
      <w:pPr>
        <w:tabs>
          <w:tab w:val="left" w:pos="450"/>
        </w:tabs>
        <w:ind w:left="720"/>
        <w:rPr>
          <w:rFonts w:ascii="Calibri" w:hAnsi="Calibri" w:cs="Times New Roman"/>
        </w:rPr>
      </w:pPr>
      <w:r>
        <w:rPr>
          <w:rFonts w:ascii="Calibri" w:hAnsi="Calibri" w:cs="Times New Roman"/>
        </w:rPr>
        <w:t>Applicants in the General Set-Aside</w:t>
      </w:r>
      <w:r w:rsidR="00290E58">
        <w:rPr>
          <w:rFonts w:ascii="Calibri" w:hAnsi="Calibri" w:cs="Times New Roman"/>
        </w:rPr>
        <w:t xml:space="preserve"> </w:t>
      </w:r>
      <w:r w:rsidR="005946C2">
        <w:rPr>
          <w:rFonts w:ascii="Calibri" w:hAnsi="Calibri" w:cs="Times New Roman"/>
        </w:rPr>
        <w:t>that did not apply during the R</w:t>
      </w:r>
      <w:r w:rsidR="0039419E">
        <w:rPr>
          <w:rFonts w:ascii="Calibri" w:hAnsi="Calibri" w:cs="Times New Roman"/>
        </w:rPr>
        <w:t>egional Distribution</w:t>
      </w:r>
      <w:r w:rsidR="005946C2">
        <w:rPr>
          <w:rFonts w:ascii="Calibri" w:hAnsi="Calibri" w:cs="Times New Roman"/>
        </w:rPr>
        <w:t xml:space="preserve"> period</w:t>
      </w:r>
      <w:r w:rsidR="003D35CD">
        <w:rPr>
          <w:rFonts w:ascii="Calibri" w:hAnsi="Calibri" w:cs="Times New Roman"/>
        </w:rPr>
        <w:t xml:space="preserve"> </w:t>
      </w:r>
      <w:r w:rsidR="00355A31" w:rsidRPr="00355A31">
        <w:rPr>
          <w:rFonts w:ascii="Calibri" w:hAnsi="Calibri" w:cs="Times New Roman"/>
        </w:rPr>
        <w:t xml:space="preserve">must request, at a minimum, $4,000,000. </w:t>
      </w:r>
      <w:r w:rsidR="005946C2">
        <w:rPr>
          <w:rFonts w:ascii="Calibri" w:hAnsi="Calibri" w:cs="Times New Roman"/>
        </w:rPr>
        <w:t>An Applicant</w:t>
      </w:r>
      <w:r w:rsidR="00355A31" w:rsidRPr="00355A31">
        <w:rPr>
          <w:rFonts w:ascii="Calibri" w:hAnsi="Calibri" w:cs="Times New Roman"/>
        </w:rPr>
        <w:t xml:space="preserve"> in </w:t>
      </w:r>
      <w:r w:rsidR="00290E58">
        <w:rPr>
          <w:rFonts w:ascii="Calibri" w:hAnsi="Calibri" w:cs="Times New Roman"/>
        </w:rPr>
        <w:t>the General set-</w:t>
      </w:r>
      <w:r w:rsidR="00355A31" w:rsidRPr="00355A31">
        <w:rPr>
          <w:rFonts w:ascii="Calibri" w:hAnsi="Calibri" w:cs="Times New Roman"/>
        </w:rPr>
        <w:t xml:space="preserve">aside may </w:t>
      </w:r>
      <w:r w:rsidR="00144A7F">
        <w:rPr>
          <w:rFonts w:ascii="Calibri" w:hAnsi="Calibri" w:cs="Times New Roman"/>
        </w:rPr>
        <w:t>request no more than $8,000,000</w:t>
      </w:r>
      <w:r w:rsidR="00E15DEB">
        <w:rPr>
          <w:rFonts w:ascii="Calibri" w:hAnsi="Calibri" w:cs="Times New Roman"/>
        </w:rPr>
        <w:t>.</w:t>
      </w:r>
    </w:p>
    <w:p w14:paraId="7EBE6AC9" w14:textId="77777777" w:rsidR="00403232" w:rsidRDefault="00403232" w:rsidP="00403232">
      <w:pPr>
        <w:tabs>
          <w:tab w:val="left" w:pos="450"/>
        </w:tabs>
        <w:ind w:left="720"/>
        <w:rPr>
          <w:rFonts w:ascii="Calibri" w:hAnsi="Calibri" w:cs="Times New Roman"/>
          <w:b/>
          <w:szCs w:val="24"/>
        </w:rPr>
      </w:pPr>
    </w:p>
    <w:p w14:paraId="6A138CC4" w14:textId="485E0D55" w:rsidR="00931E83" w:rsidRPr="00503209" w:rsidRDefault="00931E83" w:rsidP="00503209">
      <w:pPr>
        <w:tabs>
          <w:tab w:val="left" w:pos="450"/>
        </w:tabs>
        <w:ind w:left="720"/>
        <w:rPr>
          <w:rFonts w:ascii="Calibri" w:hAnsi="Calibri" w:cs="Times New Roman"/>
          <w:szCs w:val="24"/>
        </w:rPr>
      </w:pPr>
      <w:r w:rsidRPr="00170C17">
        <w:rPr>
          <w:rFonts w:ascii="Calibri" w:hAnsi="Calibri" w:cs="Times New Roman"/>
        </w:rPr>
        <w:lastRenderedPageBreak/>
        <w:t xml:space="preserve">Applications must choose a set-aside based on the restrictions set forth below. </w:t>
      </w:r>
      <w:r w:rsidR="00503209">
        <w:rPr>
          <w:rFonts w:ascii="Calibri" w:hAnsi="Calibri" w:cs="Times New Roman"/>
          <w:szCs w:val="24"/>
        </w:rPr>
        <w:t>In addition to the RAF, t</w:t>
      </w:r>
      <w:r w:rsidR="00E15DEB" w:rsidRPr="00E15DEB">
        <w:rPr>
          <w:rFonts w:ascii="Calibri" w:hAnsi="Calibri" w:cs="Times New Roman"/>
          <w:szCs w:val="24"/>
        </w:rPr>
        <w:t>he funds made available</w:t>
      </w:r>
      <w:r w:rsidR="00E15DEB">
        <w:rPr>
          <w:rFonts w:ascii="Calibri" w:hAnsi="Calibri" w:cs="Times New Roman"/>
          <w:szCs w:val="24"/>
        </w:rPr>
        <w:t xml:space="preserve"> </w:t>
      </w:r>
      <w:r w:rsidR="00E15DEB" w:rsidRPr="00E15DEB">
        <w:rPr>
          <w:rFonts w:ascii="Calibri" w:hAnsi="Calibri" w:cs="Times New Roman"/>
          <w:szCs w:val="24"/>
        </w:rPr>
        <w:t>under this NOFA are offered under the following Set-Asides:</w:t>
      </w:r>
    </w:p>
    <w:p w14:paraId="24AA3624" w14:textId="6B6F5F4C" w:rsidR="006F4A17" w:rsidRPr="00144A7F" w:rsidRDefault="006F4A17" w:rsidP="00144A7F">
      <w:pPr>
        <w:tabs>
          <w:tab w:val="left" w:pos="450"/>
        </w:tabs>
        <w:rPr>
          <w:rFonts w:ascii="Calibri" w:hAnsi="Calibri" w:cs="Times New Roman"/>
          <w:szCs w:val="24"/>
        </w:rPr>
      </w:pPr>
    </w:p>
    <w:p w14:paraId="30EBD1E7" w14:textId="1330AD7F" w:rsidR="0068319F" w:rsidRDefault="00170C17" w:rsidP="0068319F">
      <w:pPr>
        <w:pStyle w:val="ListParagraph"/>
        <w:numPr>
          <w:ilvl w:val="0"/>
          <w:numId w:val="5"/>
        </w:numPr>
        <w:tabs>
          <w:tab w:val="left" w:pos="450"/>
        </w:tabs>
        <w:rPr>
          <w:rFonts w:ascii="Calibri" w:hAnsi="Calibri" w:cs="Times New Roman"/>
          <w:szCs w:val="24"/>
        </w:rPr>
      </w:pPr>
      <w:r>
        <w:rPr>
          <w:rFonts w:ascii="Calibri" w:hAnsi="Calibri" w:cs="Times New Roman"/>
          <w:b/>
          <w:szCs w:val="24"/>
          <w:u w:val="single"/>
        </w:rPr>
        <w:t>General</w:t>
      </w:r>
      <w:r w:rsidR="0068319F" w:rsidRPr="0068319F">
        <w:rPr>
          <w:rFonts w:ascii="Calibri" w:hAnsi="Calibri" w:cs="Times New Roman"/>
          <w:b/>
          <w:szCs w:val="24"/>
          <w:u w:val="single"/>
        </w:rPr>
        <w:t xml:space="preserve"> Set-Aside</w:t>
      </w:r>
      <w:r w:rsidR="0068319F" w:rsidRPr="0068319F">
        <w:rPr>
          <w:rFonts w:ascii="Calibri" w:hAnsi="Calibri" w:cs="Times New Roman"/>
          <w:b/>
          <w:szCs w:val="24"/>
        </w:rPr>
        <w:t>.</w:t>
      </w:r>
      <w:r w:rsidR="0068319F" w:rsidRPr="0068319F">
        <w:rPr>
          <w:rFonts w:ascii="Calibri" w:hAnsi="Calibri" w:cs="Times New Roman"/>
          <w:szCs w:val="24"/>
        </w:rPr>
        <w:t xml:space="preserve"> This set-aside consists of NHTF in the amount of </w:t>
      </w:r>
      <w:r w:rsidR="00373072" w:rsidRPr="00373072">
        <w:rPr>
          <w:rFonts w:ascii="Calibri" w:hAnsi="Calibri" w:cs="Times New Roman"/>
          <w:szCs w:val="24"/>
        </w:rPr>
        <w:t>$</w:t>
      </w:r>
      <w:r w:rsidR="00144A7F">
        <w:rPr>
          <w:rFonts w:ascii="Calibri" w:hAnsi="Calibri" w:cs="Times New Roman"/>
          <w:szCs w:val="24"/>
        </w:rPr>
        <w:t>20,154,797</w:t>
      </w:r>
      <w:r w:rsidR="006F4A17">
        <w:rPr>
          <w:rFonts w:ascii="Calibri" w:hAnsi="Calibri" w:cs="Times New Roman"/>
          <w:szCs w:val="24"/>
        </w:rPr>
        <w:t xml:space="preserve">. </w:t>
      </w:r>
      <w:r w:rsidR="0068319F" w:rsidRPr="0068319F">
        <w:rPr>
          <w:rFonts w:ascii="Calibri" w:hAnsi="Calibri" w:cs="Times New Roman"/>
          <w:szCs w:val="24"/>
        </w:rPr>
        <w:t>Applicants may only select NHTF funds and restrict rent and income for all Direct Loan-assisted units to 30% AMI as defined in 24 CFR Part 93</w:t>
      </w:r>
      <w:r w:rsidR="0068319F" w:rsidRPr="002A7D43">
        <w:rPr>
          <w:rFonts w:ascii="Calibri" w:hAnsi="Calibri" w:cs="Times New Roman"/>
          <w:b/>
          <w:szCs w:val="24"/>
        </w:rPr>
        <w:t>.</w:t>
      </w:r>
      <w:r w:rsidR="0068319F" w:rsidRPr="0068319F">
        <w:rPr>
          <w:rFonts w:ascii="Calibri" w:hAnsi="Calibri" w:cs="Times New Roman"/>
          <w:szCs w:val="24"/>
        </w:rPr>
        <w:t xml:space="preserve"> Other Participating Jurisdictions in Te</w:t>
      </w:r>
      <w:r w:rsidR="0068319F">
        <w:rPr>
          <w:rFonts w:ascii="Calibri" w:hAnsi="Calibri" w:cs="Times New Roman"/>
          <w:szCs w:val="24"/>
        </w:rPr>
        <w:t xml:space="preserve">xas are listed in </w:t>
      </w:r>
      <w:r w:rsidR="0068319F" w:rsidRPr="002A7D43">
        <w:rPr>
          <w:rFonts w:ascii="Calibri" w:hAnsi="Calibri" w:cs="Times New Roman"/>
          <w:b/>
          <w:szCs w:val="24"/>
        </w:rPr>
        <w:t xml:space="preserve">Attachment </w:t>
      </w:r>
      <w:r w:rsidR="00D51A94">
        <w:rPr>
          <w:rFonts w:ascii="Calibri" w:hAnsi="Calibri" w:cs="Times New Roman"/>
          <w:b/>
          <w:szCs w:val="24"/>
        </w:rPr>
        <w:t>B</w:t>
      </w:r>
      <w:r w:rsidR="0068319F" w:rsidRPr="002A7D43">
        <w:rPr>
          <w:rFonts w:ascii="Calibri" w:hAnsi="Calibri" w:cs="Times New Roman"/>
          <w:b/>
          <w:szCs w:val="24"/>
        </w:rPr>
        <w:t>.</w:t>
      </w:r>
    </w:p>
    <w:p w14:paraId="443F1662" w14:textId="4D7C8AF2" w:rsidR="0068319F" w:rsidRDefault="0068319F" w:rsidP="0068319F">
      <w:pPr>
        <w:tabs>
          <w:tab w:val="left" w:pos="450"/>
        </w:tabs>
        <w:rPr>
          <w:rFonts w:ascii="Calibri" w:hAnsi="Calibri" w:cs="Times New Roman"/>
          <w:szCs w:val="24"/>
        </w:rPr>
      </w:pPr>
    </w:p>
    <w:tbl>
      <w:tblPr>
        <w:tblW w:w="8688" w:type="dxa"/>
        <w:tblInd w:w="689" w:type="dxa"/>
        <w:tblLayout w:type="fixed"/>
        <w:tblLook w:val="0000" w:firstRow="0" w:lastRow="0" w:firstColumn="0" w:lastColumn="0" w:noHBand="0" w:noVBand="0"/>
      </w:tblPr>
      <w:tblGrid>
        <w:gridCol w:w="2059"/>
        <w:gridCol w:w="2014"/>
        <w:gridCol w:w="1426"/>
        <w:gridCol w:w="1595"/>
        <w:gridCol w:w="1594"/>
      </w:tblGrid>
      <w:tr w:rsidR="0068319F" w:rsidRPr="0068319F" w14:paraId="00C2DF4F" w14:textId="77777777" w:rsidTr="004A0897">
        <w:trPr>
          <w:trHeight w:val="199"/>
        </w:trPr>
        <w:tc>
          <w:tcPr>
            <w:tcW w:w="20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34A8C63" w14:textId="77777777" w:rsidR="0068319F" w:rsidRPr="0068319F" w:rsidRDefault="0068319F" w:rsidP="0068319F">
            <w:pPr>
              <w:jc w:val="left"/>
              <w:rPr>
                <w:rFonts w:ascii="Calibri" w:hAnsi="Calibri"/>
              </w:rPr>
            </w:pPr>
            <w:r w:rsidRPr="0068319F">
              <w:rPr>
                <w:rFonts w:ascii="Calibri" w:hAnsi="Calibri"/>
                <w:b/>
                <w:bCs/>
                <w:color w:val="000000"/>
              </w:rPr>
              <w:t>Set-Aside</w:t>
            </w:r>
          </w:p>
        </w:tc>
        <w:tc>
          <w:tcPr>
            <w:tcW w:w="2014" w:type="dxa"/>
            <w:tcBorders>
              <w:top w:val="single" w:sz="12" w:space="0" w:color="000000"/>
              <w:left w:val="single" w:sz="12" w:space="0" w:color="000000"/>
              <w:bottom w:val="single" w:sz="12" w:space="0" w:color="000000"/>
              <w:right w:val="single" w:sz="12" w:space="0" w:color="000000"/>
            </w:tcBorders>
            <w:vAlign w:val="center"/>
          </w:tcPr>
          <w:p w14:paraId="1DF88331" w14:textId="77777777" w:rsidR="0068319F" w:rsidRPr="0068319F" w:rsidRDefault="0068319F" w:rsidP="0068319F">
            <w:pPr>
              <w:jc w:val="left"/>
              <w:rPr>
                <w:rFonts w:ascii="Calibri" w:hAnsi="Calibri"/>
                <w:b/>
                <w:bCs/>
                <w:color w:val="000000"/>
              </w:rPr>
            </w:pPr>
            <w:r w:rsidRPr="0068319F">
              <w:rPr>
                <w:rFonts w:ascii="Calibri" w:hAnsi="Calibri"/>
                <w:b/>
                <w:bCs/>
                <w:color w:val="000000"/>
              </w:rPr>
              <w:t>Eligible Activities and Geographic  Scope</w:t>
            </w:r>
          </w:p>
        </w:tc>
        <w:tc>
          <w:tcPr>
            <w:tcW w:w="302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1CD9E61" w14:textId="77777777" w:rsidR="0068319F" w:rsidRPr="0068319F" w:rsidRDefault="0068319F" w:rsidP="0068319F">
            <w:pPr>
              <w:jc w:val="left"/>
              <w:rPr>
                <w:rFonts w:ascii="Calibri" w:hAnsi="Calibri"/>
              </w:rPr>
            </w:pPr>
            <w:r w:rsidRPr="0068319F">
              <w:rPr>
                <w:rFonts w:ascii="Calibri" w:hAnsi="Calibri"/>
                <w:b/>
                <w:bCs/>
                <w:color w:val="000000"/>
              </w:rPr>
              <w:t>Fund Source and Amount Available</w:t>
            </w:r>
          </w:p>
        </w:tc>
        <w:tc>
          <w:tcPr>
            <w:tcW w:w="15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41D631" w14:textId="77777777" w:rsidR="0068319F" w:rsidRPr="0068319F" w:rsidRDefault="0068319F" w:rsidP="0068319F">
            <w:pPr>
              <w:jc w:val="left"/>
              <w:rPr>
                <w:rFonts w:ascii="Calibri" w:hAnsi="Calibri"/>
              </w:rPr>
            </w:pPr>
            <w:r w:rsidRPr="0068319F">
              <w:rPr>
                <w:rFonts w:ascii="Calibri" w:hAnsi="Calibri"/>
                <w:b/>
                <w:bCs/>
                <w:color w:val="000000"/>
              </w:rPr>
              <w:t>Maximum Request</w:t>
            </w:r>
            <w:r w:rsidRPr="0068319F">
              <w:rPr>
                <w:rFonts w:ascii="Calibri" w:hAnsi="Calibri"/>
                <w:b/>
                <w:bCs/>
                <w:color w:val="000000"/>
                <w:vertAlign w:val="superscript"/>
              </w:rPr>
              <w:footnoteReference w:id="2"/>
            </w:r>
          </w:p>
        </w:tc>
      </w:tr>
      <w:tr w:rsidR="0068319F" w:rsidRPr="0068319F" w14:paraId="29617304" w14:textId="77777777" w:rsidTr="004A0897">
        <w:trPr>
          <w:trHeight w:val="1256"/>
        </w:trPr>
        <w:tc>
          <w:tcPr>
            <w:tcW w:w="2059" w:type="dxa"/>
            <w:tcBorders>
              <w:top w:val="single" w:sz="12" w:space="0" w:color="000000"/>
              <w:left w:val="single" w:sz="12" w:space="0" w:color="000000"/>
              <w:bottom w:val="single" w:sz="18" w:space="0" w:color="000000"/>
              <w:right w:val="single" w:sz="12" w:space="0" w:color="000000"/>
            </w:tcBorders>
            <w:shd w:val="clear" w:color="auto" w:fill="auto"/>
            <w:vAlign w:val="center"/>
          </w:tcPr>
          <w:p w14:paraId="35F53849" w14:textId="77777777" w:rsidR="0068319F" w:rsidRPr="0068319F" w:rsidRDefault="0068319F" w:rsidP="0095073E">
            <w:pPr>
              <w:jc w:val="left"/>
              <w:rPr>
                <w:rFonts w:ascii="Calibri" w:hAnsi="Calibri"/>
              </w:rPr>
            </w:pPr>
            <w:r w:rsidRPr="0068319F">
              <w:rPr>
                <w:rFonts w:ascii="Calibri" w:hAnsi="Calibri"/>
                <w:b/>
                <w:color w:val="000000"/>
              </w:rPr>
              <w:t>General</w:t>
            </w:r>
          </w:p>
        </w:tc>
        <w:tc>
          <w:tcPr>
            <w:tcW w:w="2014" w:type="dxa"/>
            <w:tcBorders>
              <w:top w:val="single" w:sz="18" w:space="0" w:color="000000"/>
              <w:left w:val="single" w:sz="12" w:space="0" w:color="000000"/>
              <w:bottom w:val="single" w:sz="18" w:space="0" w:color="000000"/>
              <w:right w:val="single" w:sz="12" w:space="0" w:color="000000"/>
            </w:tcBorders>
            <w:vAlign w:val="center"/>
          </w:tcPr>
          <w:p w14:paraId="1B7D0D15" w14:textId="77777777" w:rsidR="0068319F" w:rsidRPr="0068319F" w:rsidRDefault="006F4A17" w:rsidP="006F4A17">
            <w:pPr>
              <w:jc w:val="left"/>
              <w:rPr>
                <w:rFonts w:ascii="Calibri" w:hAnsi="Calibri"/>
                <w:color w:val="000000"/>
              </w:rPr>
            </w:pPr>
            <w:r>
              <w:rPr>
                <w:rFonts w:ascii="Calibri" w:hAnsi="Calibri"/>
              </w:rPr>
              <w:t>NC, A/R</w:t>
            </w:r>
          </w:p>
        </w:tc>
        <w:tc>
          <w:tcPr>
            <w:tcW w:w="1426" w:type="dxa"/>
            <w:tcBorders>
              <w:top w:val="single" w:sz="18" w:space="0" w:color="000000"/>
              <w:left w:val="single" w:sz="12" w:space="0" w:color="000000"/>
              <w:bottom w:val="single" w:sz="18" w:space="0" w:color="000000"/>
            </w:tcBorders>
            <w:shd w:val="clear" w:color="auto" w:fill="auto"/>
            <w:vAlign w:val="center"/>
          </w:tcPr>
          <w:p w14:paraId="276B99D3" w14:textId="77777777" w:rsidR="0068319F" w:rsidRPr="0068319F" w:rsidDel="006C6B78" w:rsidRDefault="0068319F" w:rsidP="0068319F">
            <w:pPr>
              <w:jc w:val="left"/>
              <w:rPr>
                <w:rFonts w:ascii="Calibri" w:hAnsi="Calibri"/>
                <w:color w:val="000000"/>
              </w:rPr>
            </w:pPr>
            <w:r w:rsidRPr="0068319F">
              <w:rPr>
                <w:rFonts w:ascii="Calibri" w:hAnsi="Calibri"/>
                <w:color w:val="000000"/>
              </w:rPr>
              <w:t>NHTF</w:t>
            </w:r>
          </w:p>
        </w:tc>
        <w:tc>
          <w:tcPr>
            <w:tcW w:w="1595" w:type="dxa"/>
            <w:tcBorders>
              <w:top w:val="single" w:sz="18" w:space="0" w:color="000000"/>
              <w:left w:val="single" w:sz="8" w:space="0" w:color="000000"/>
              <w:bottom w:val="single" w:sz="18" w:space="0" w:color="000000"/>
              <w:right w:val="single" w:sz="12" w:space="0" w:color="000000"/>
            </w:tcBorders>
            <w:shd w:val="clear" w:color="auto" w:fill="auto"/>
            <w:vAlign w:val="center"/>
          </w:tcPr>
          <w:p w14:paraId="65F8FA28" w14:textId="3FBDEB1D" w:rsidR="0079665D" w:rsidRPr="0068319F" w:rsidRDefault="0068319F" w:rsidP="00144A7F">
            <w:pPr>
              <w:jc w:val="left"/>
              <w:rPr>
                <w:rFonts w:ascii="Calibri" w:hAnsi="Calibri"/>
                <w:color w:val="000000"/>
                <w:szCs w:val="24"/>
              </w:rPr>
            </w:pPr>
            <w:r w:rsidRPr="0068319F">
              <w:rPr>
                <w:rFonts w:ascii="Calibri" w:hAnsi="Calibri" w:cs="Times New Roman"/>
                <w:szCs w:val="24"/>
              </w:rPr>
              <w:t>$</w:t>
            </w:r>
            <w:r w:rsidR="00144A7F">
              <w:rPr>
                <w:rFonts w:ascii="Calibri" w:hAnsi="Calibri" w:cs="Times New Roman"/>
                <w:szCs w:val="24"/>
              </w:rPr>
              <w:t>20,154,797</w:t>
            </w:r>
            <w:r w:rsidR="003D5404">
              <w:rPr>
                <w:rFonts w:ascii="Calibri" w:hAnsi="Calibri" w:cs="Times New Roman"/>
                <w:szCs w:val="24"/>
              </w:rPr>
              <w:t xml:space="preserve">   </w:t>
            </w:r>
          </w:p>
        </w:tc>
        <w:tc>
          <w:tcPr>
            <w:tcW w:w="1594" w:type="dxa"/>
            <w:tcBorders>
              <w:top w:val="single" w:sz="18" w:space="0" w:color="000000"/>
              <w:left w:val="single" w:sz="12" w:space="0" w:color="000000"/>
              <w:bottom w:val="single" w:sz="18" w:space="0" w:color="000000"/>
              <w:right w:val="single" w:sz="18" w:space="0" w:color="000000"/>
            </w:tcBorders>
            <w:shd w:val="clear" w:color="auto" w:fill="auto"/>
            <w:vAlign w:val="center"/>
          </w:tcPr>
          <w:p w14:paraId="1BA1CDD0" w14:textId="77777777" w:rsidR="0068319F" w:rsidRPr="0068319F" w:rsidRDefault="0068319F" w:rsidP="0068319F">
            <w:pPr>
              <w:jc w:val="left"/>
              <w:rPr>
                <w:rFonts w:ascii="Calibri" w:hAnsi="Calibri"/>
                <w:color w:val="000000"/>
              </w:rPr>
            </w:pPr>
            <w:r w:rsidRPr="0068319F">
              <w:rPr>
                <w:rFonts w:ascii="Calibri" w:hAnsi="Calibri"/>
                <w:color w:val="000000"/>
              </w:rPr>
              <w:t>$</w:t>
            </w:r>
            <w:r w:rsidR="00BD48AF">
              <w:rPr>
                <w:rFonts w:ascii="Calibri" w:hAnsi="Calibri"/>
                <w:color w:val="000000"/>
              </w:rPr>
              <w:t>8,000,000</w:t>
            </w:r>
          </w:p>
        </w:tc>
      </w:tr>
    </w:tbl>
    <w:p w14:paraId="1A861AC0" w14:textId="77777777" w:rsidR="0068319F" w:rsidRPr="0068319F" w:rsidRDefault="0068319F" w:rsidP="0068319F">
      <w:pPr>
        <w:tabs>
          <w:tab w:val="left" w:pos="180"/>
        </w:tabs>
        <w:rPr>
          <w:rFonts w:ascii="Calibri" w:hAnsi="Calibri" w:cs="Times New Roman"/>
          <w:b/>
          <w:szCs w:val="24"/>
        </w:rPr>
      </w:pPr>
      <w:r w:rsidRPr="0068319F">
        <w:rPr>
          <w:rFonts w:ascii="Calibri" w:hAnsi="Calibri" w:cs="Times New Roman"/>
          <w:b/>
          <w:szCs w:val="24"/>
        </w:rPr>
        <w:t xml:space="preserve">        </w:t>
      </w:r>
    </w:p>
    <w:p w14:paraId="25BCF75E" w14:textId="77777777" w:rsidR="0068319F" w:rsidRPr="0068319F" w:rsidRDefault="0068319F" w:rsidP="0068319F">
      <w:pPr>
        <w:rPr>
          <w:rFonts w:ascii="Calibri" w:hAnsi="Calibri" w:cs="Times New Roman"/>
          <w:b/>
          <w:szCs w:val="24"/>
        </w:rPr>
      </w:pPr>
      <w:r w:rsidRPr="0068319F">
        <w:rPr>
          <w:rFonts w:ascii="Calibri" w:hAnsi="Calibri" w:cs="Times New Roman"/>
          <w:szCs w:val="24"/>
        </w:rPr>
        <w:t xml:space="preserve">      </w:t>
      </w:r>
      <w:r w:rsidRPr="0068319F">
        <w:rPr>
          <w:rFonts w:ascii="Calibri" w:hAnsi="Calibri" w:cs="Times New Roman"/>
          <w:b/>
          <w:szCs w:val="24"/>
        </w:rPr>
        <w:t>Key:</w:t>
      </w:r>
    </w:p>
    <w:p w14:paraId="5D6A8CCA" w14:textId="77777777" w:rsidR="0068319F" w:rsidRPr="0068319F" w:rsidRDefault="0068319F" w:rsidP="0068319F">
      <w:pPr>
        <w:ind w:left="360"/>
        <w:rPr>
          <w:rFonts w:ascii="Calibri" w:hAnsi="Calibri" w:cs="Times New Roman"/>
          <w:szCs w:val="24"/>
        </w:rPr>
      </w:pPr>
      <w:r w:rsidRPr="0068319F">
        <w:rPr>
          <w:rFonts w:ascii="Calibri" w:hAnsi="Calibri" w:cs="Times New Roman"/>
          <w:szCs w:val="24"/>
        </w:rPr>
        <w:t xml:space="preserve">NC – New Construction (For the </w:t>
      </w:r>
      <w:r w:rsidR="00355A31">
        <w:rPr>
          <w:rFonts w:ascii="Calibri" w:hAnsi="Calibri" w:cs="Times New Roman"/>
          <w:szCs w:val="24"/>
        </w:rPr>
        <w:t>General</w:t>
      </w:r>
      <w:r w:rsidRPr="0068319F">
        <w:rPr>
          <w:rFonts w:ascii="Calibri" w:hAnsi="Calibri" w:cs="Times New Roman"/>
          <w:szCs w:val="24"/>
        </w:rPr>
        <w:t xml:space="preserve"> Set-Aside, New Construction includes Reconstruction, as defined in 24 CFR Part 93)</w:t>
      </w:r>
    </w:p>
    <w:p w14:paraId="5BA811B3" w14:textId="77777777" w:rsidR="0068319F" w:rsidRPr="0068319F" w:rsidRDefault="0068319F" w:rsidP="0068319F">
      <w:pPr>
        <w:ind w:left="360"/>
      </w:pPr>
      <w:r w:rsidRPr="0068319F">
        <w:rPr>
          <w:rFonts w:ascii="Calibri" w:hAnsi="Calibri" w:cs="Times New Roman"/>
          <w:szCs w:val="24"/>
        </w:rPr>
        <w:t>A/R – Acquisition/Rehabilitation</w:t>
      </w:r>
      <w:r w:rsidRPr="0068319F">
        <w:rPr>
          <w:rFonts w:ascii="Calibri" w:hAnsi="Calibri" w:cs="Times New Roman"/>
          <w:szCs w:val="24"/>
        </w:rPr>
        <w:tab/>
      </w:r>
      <w:r w:rsidRPr="0068319F">
        <w:rPr>
          <w:rFonts w:ascii="Calibri" w:hAnsi="Calibri" w:cs="Times New Roman"/>
          <w:szCs w:val="24"/>
        </w:rPr>
        <w:tab/>
      </w:r>
    </w:p>
    <w:p w14:paraId="59BBE494" w14:textId="77777777" w:rsidR="0068319F" w:rsidRDefault="0068319F" w:rsidP="0068319F">
      <w:pPr>
        <w:ind w:left="360"/>
        <w:rPr>
          <w:rFonts w:ascii="Calibri" w:hAnsi="Calibri" w:cs="Times New Roman"/>
          <w:szCs w:val="24"/>
        </w:rPr>
      </w:pPr>
      <w:r w:rsidRPr="0068319F">
        <w:rPr>
          <w:rFonts w:ascii="Calibri" w:hAnsi="Calibri" w:cs="Times New Roman"/>
          <w:szCs w:val="24"/>
        </w:rPr>
        <w:t>R – Rehabilitation</w:t>
      </w:r>
    </w:p>
    <w:p w14:paraId="183CF8D4" w14:textId="77777777" w:rsidR="00671E31" w:rsidRPr="00363EC4" w:rsidRDefault="00671E31" w:rsidP="00671E31">
      <w:pPr>
        <w:rPr>
          <w:rFonts w:asciiTheme="minorHAnsi" w:hAnsiTheme="minorHAnsi" w:cs="Times New Roman"/>
          <w:b/>
          <w:smallCaps/>
          <w:szCs w:val="24"/>
        </w:rPr>
      </w:pPr>
    </w:p>
    <w:p w14:paraId="7622A88A" w14:textId="69DF925B" w:rsidR="00C10251" w:rsidRPr="00E8304E" w:rsidRDefault="00B44A16" w:rsidP="00C10251">
      <w:pPr>
        <w:numPr>
          <w:ilvl w:val="0"/>
          <w:numId w:val="3"/>
        </w:numPr>
        <w:tabs>
          <w:tab w:val="left" w:pos="450"/>
        </w:tabs>
        <w:rPr>
          <w:rFonts w:ascii="Calibri" w:hAnsi="Calibri" w:cs="Times New Roman"/>
          <w:b/>
          <w:szCs w:val="24"/>
        </w:rPr>
      </w:pPr>
      <w:r>
        <w:rPr>
          <w:rFonts w:ascii="Calibri" w:hAnsi="Calibri" w:cs="Times New Roman"/>
          <w:b/>
          <w:szCs w:val="24"/>
        </w:rPr>
        <w:t>Application Acceptance Dates and Priorities</w:t>
      </w:r>
      <w:r w:rsidR="00950B5F" w:rsidRPr="00950B5F">
        <w:rPr>
          <w:rFonts w:ascii="Calibri" w:hAnsi="Calibri" w:cs="Times New Roman"/>
          <w:b/>
          <w:szCs w:val="24"/>
        </w:rPr>
        <w:t>.</w:t>
      </w:r>
      <w:r w:rsidR="00372BD0">
        <w:rPr>
          <w:rFonts w:ascii="Calibri" w:hAnsi="Calibri" w:cs="Times New Roman"/>
          <w:b/>
          <w:szCs w:val="24"/>
        </w:rPr>
        <w:t xml:space="preserve"> </w:t>
      </w:r>
      <w:r w:rsidR="00372BD0" w:rsidRPr="00372BD0">
        <w:rPr>
          <w:rFonts w:ascii="Calibri" w:hAnsi="Calibri" w:cs="Times New Roman"/>
          <w:szCs w:val="24"/>
        </w:rPr>
        <w:t>Applicants</w:t>
      </w:r>
      <w:r w:rsidR="00372BD0">
        <w:rPr>
          <w:rFonts w:ascii="Calibri" w:hAnsi="Calibri" w:cs="Times New Roman"/>
          <w:b/>
          <w:szCs w:val="24"/>
        </w:rPr>
        <w:t xml:space="preserve"> </w:t>
      </w:r>
      <w:r w:rsidR="00915537">
        <w:rPr>
          <w:rFonts w:ascii="Calibri" w:hAnsi="Calibri" w:cs="Times New Roman"/>
          <w:szCs w:val="24"/>
        </w:rPr>
        <w:t>m</w:t>
      </w:r>
      <w:r w:rsidR="008C6B6B">
        <w:rPr>
          <w:rFonts w:ascii="Calibri" w:hAnsi="Calibri" w:cs="Times New Roman"/>
          <w:szCs w:val="24"/>
        </w:rPr>
        <w:t>a</w:t>
      </w:r>
      <w:r w:rsidR="00915537">
        <w:rPr>
          <w:rFonts w:ascii="Calibri" w:hAnsi="Calibri" w:cs="Times New Roman"/>
          <w:szCs w:val="24"/>
        </w:rPr>
        <w:t xml:space="preserve">y submit during one of several </w:t>
      </w:r>
      <w:r w:rsidR="00FC1A09">
        <w:rPr>
          <w:rFonts w:ascii="Calibri" w:hAnsi="Calibri" w:cs="Times New Roman"/>
          <w:szCs w:val="24"/>
        </w:rPr>
        <w:t xml:space="preserve">Application </w:t>
      </w:r>
      <w:r w:rsidR="00915537">
        <w:rPr>
          <w:rFonts w:ascii="Calibri" w:hAnsi="Calibri" w:cs="Times New Roman"/>
          <w:szCs w:val="24"/>
        </w:rPr>
        <w:t>acceptance periods</w:t>
      </w:r>
      <w:r w:rsidR="00304094">
        <w:rPr>
          <w:rFonts w:ascii="Calibri" w:hAnsi="Calibri" w:cs="Times New Roman"/>
          <w:szCs w:val="24"/>
        </w:rPr>
        <w:t xml:space="preserve">. Within those windows, applications will be reviewed in accordance with the listed priorities.  </w:t>
      </w:r>
      <w:r w:rsidR="00372BD0">
        <w:rPr>
          <w:rFonts w:ascii="Calibri" w:hAnsi="Calibri" w:cs="Times New Roman"/>
          <w:szCs w:val="24"/>
        </w:rPr>
        <w:t xml:space="preserve"> </w:t>
      </w:r>
    </w:p>
    <w:p w14:paraId="2AA8B9EF" w14:textId="77777777" w:rsidR="008C3311" w:rsidRDefault="008C3311" w:rsidP="008C3311">
      <w:pPr>
        <w:tabs>
          <w:tab w:val="left" w:pos="450"/>
        </w:tabs>
        <w:ind w:left="1440"/>
        <w:rPr>
          <w:rFonts w:ascii="Calibri" w:hAnsi="Calibri" w:cs="Times New Roman"/>
          <w:b/>
          <w:szCs w:val="24"/>
        </w:rPr>
      </w:pPr>
    </w:p>
    <w:p w14:paraId="25F1CCC9" w14:textId="6DFC35D1" w:rsidR="00304094" w:rsidRPr="00947F4C" w:rsidRDefault="00742DD3" w:rsidP="00E8304E">
      <w:pPr>
        <w:numPr>
          <w:ilvl w:val="1"/>
          <w:numId w:val="3"/>
        </w:numPr>
        <w:tabs>
          <w:tab w:val="left" w:pos="450"/>
        </w:tabs>
        <w:rPr>
          <w:rFonts w:ascii="Calibri" w:hAnsi="Calibri" w:cs="Times New Roman"/>
          <w:szCs w:val="24"/>
        </w:rPr>
      </w:pPr>
      <w:r>
        <w:rPr>
          <w:rFonts w:ascii="Calibri" w:hAnsi="Calibri" w:cs="Times New Roman"/>
          <w:b/>
          <w:szCs w:val="24"/>
        </w:rPr>
        <w:t xml:space="preserve">General Set-Aside </w:t>
      </w:r>
      <w:r w:rsidR="00304094">
        <w:rPr>
          <w:rFonts w:ascii="Calibri" w:hAnsi="Calibri" w:cs="Times New Roman"/>
          <w:b/>
          <w:szCs w:val="24"/>
        </w:rPr>
        <w:t xml:space="preserve">Application </w:t>
      </w:r>
      <w:r w:rsidR="00B07A5E">
        <w:rPr>
          <w:rFonts w:ascii="Calibri" w:hAnsi="Calibri" w:cs="Times New Roman"/>
          <w:b/>
          <w:szCs w:val="24"/>
        </w:rPr>
        <w:t>Period</w:t>
      </w:r>
      <w:r w:rsidR="00E31500">
        <w:rPr>
          <w:rFonts w:ascii="Calibri" w:hAnsi="Calibri" w:cs="Times New Roman"/>
          <w:b/>
          <w:szCs w:val="24"/>
        </w:rPr>
        <w:t>s</w:t>
      </w:r>
      <w:r w:rsidR="001D22DC">
        <w:rPr>
          <w:rFonts w:ascii="Calibri" w:hAnsi="Calibri" w:cs="Times New Roman"/>
          <w:b/>
          <w:szCs w:val="24"/>
        </w:rPr>
        <w:t>:</w:t>
      </w:r>
      <w:r w:rsidR="00E8304E">
        <w:rPr>
          <w:rFonts w:ascii="Calibri" w:hAnsi="Calibri" w:cs="Times New Roman"/>
          <w:b/>
          <w:szCs w:val="24"/>
        </w:rPr>
        <w:t xml:space="preserve"> </w:t>
      </w:r>
      <w:r w:rsidR="00947F4C" w:rsidRPr="00947F4C">
        <w:rPr>
          <w:rFonts w:ascii="Calibri" w:hAnsi="Calibri" w:cs="Times New Roman"/>
          <w:szCs w:val="24"/>
        </w:rPr>
        <w:t xml:space="preserve">NHTF funding will be distributed in </w:t>
      </w:r>
      <w:r w:rsidR="00947F4C">
        <w:rPr>
          <w:rFonts w:ascii="Calibri" w:hAnsi="Calibri" w:cs="Times New Roman"/>
          <w:szCs w:val="24"/>
        </w:rPr>
        <w:t>accordance with the following timeline</w:t>
      </w:r>
      <w:r w:rsidR="00E31500">
        <w:rPr>
          <w:rFonts w:ascii="Calibri" w:hAnsi="Calibri" w:cs="Times New Roman"/>
          <w:szCs w:val="24"/>
        </w:rPr>
        <w:t>s</w:t>
      </w:r>
      <w:r w:rsidR="00947F4C">
        <w:rPr>
          <w:rFonts w:ascii="Calibri" w:hAnsi="Calibri" w:cs="Times New Roman"/>
          <w:szCs w:val="24"/>
        </w:rPr>
        <w:t xml:space="preserve">. </w:t>
      </w:r>
      <w:r w:rsidR="006301FF" w:rsidRPr="00947F4C">
        <w:rPr>
          <w:rFonts w:ascii="Calibri" w:hAnsi="Calibri" w:cs="Times New Roman"/>
          <w:szCs w:val="24"/>
        </w:rPr>
        <w:t xml:space="preserve">Each </w:t>
      </w:r>
      <w:r w:rsidR="007D5B2F" w:rsidRPr="00947F4C">
        <w:rPr>
          <w:rFonts w:ascii="Calibri" w:hAnsi="Calibri" w:cs="Times New Roman"/>
          <w:szCs w:val="24"/>
        </w:rPr>
        <w:t xml:space="preserve">application </w:t>
      </w:r>
      <w:r w:rsidR="00F1581A">
        <w:rPr>
          <w:rFonts w:ascii="Calibri" w:hAnsi="Calibri" w:cs="Times New Roman"/>
          <w:szCs w:val="24"/>
        </w:rPr>
        <w:t>period</w:t>
      </w:r>
      <w:r w:rsidR="00F1581A" w:rsidRPr="00947F4C">
        <w:rPr>
          <w:rFonts w:ascii="Calibri" w:hAnsi="Calibri" w:cs="Times New Roman"/>
          <w:szCs w:val="24"/>
        </w:rPr>
        <w:t xml:space="preserve"> </w:t>
      </w:r>
      <w:r w:rsidR="006301FF" w:rsidRPr="00947F4C">
        <w:rPr>
          <w:rFonts w:ascii="Calibri" w:hAnsi="Calibri" w:cs="Times New Roman"/>
          <w:szCs w:val="24"/>
        </w:rPr>
        <w:t xml:space="preserve">has certain conditions that must be met for </w:t>
      </w:r>
      <w:r w:rsidR="00AD01AC">
        <w:rPr>
          <w:rFonts w:ascii="Calibri" w:hAnsi="Calibri" w:cs="Times New Roman"/>
          <w:szCs w:val="24"/>
        </w:rPr>
        <w:t>staff to a</w:t>
      </w:r>
      <w:r>
        <w:rPr>
          <w:rFonts w:ascii="Calibri" w:hAnsi="Calibri" w:cs="Times New Roman"/>
          <w:szCs w:val="24"/>
        </w:rPr>
        <w:t xml:space="preserve">ssign an Application </w:t>
      </w:r>
      <w:r w:rsidR="00AD01AC">
        <w:rPr>
          <w:rFonts w:ascii="Calibri" w:hAnsi="Calibri" w:cs="Times New Roman"/>
          <w:szCs w:val="24"/>
        </w:rPr>
        <w:t xml:space="preserve">Acceptance </w:t>
      </w:r>
      <w:r>
        <w:rPr>
          <w:rFonts w:ascii="Calibri" w:hAnsi="Calibri" w:cs="Times New Roman"/>
          <w:szCs w:val="24"/>
        </w:rPr>
        <w:t>Date</w:t>
      </w:r>
      <w:r w:rsidR="006301FF" w:rsidRPr="00947F4C">
        <w:rPr>
          <w:rFonts w:ascii="Calibri" w:hAnsi="Calibri" w:cs="Times New Roman"/>
          <w:szCs w:val="24"/>
        </w:rPr>
        <w:t xml:space="preserve">. Dates and relevant restrictions are listed below. </w:t>
      </w:r>
    </w:p>
    <w:p w14:paraId="4849EF05" w14:textId="77777777" w:rsidR="00304094" w:rsidRDefault="00304094" w:rsidP="00304094">
      <w:pPr>
        <w:tabs>
          <w:tab w:val="left" w:pos="450"/>
        </w:tabs>
        <w:ind w:left="1440"/>
        <w:rPr>
          <w:rFonts w:ascii="Calibri" w:hAnsi="Calibri" w:cs="Times New Roman"/>
          <w:b/>
          <w:szCs w:val="24"/>
        </w:rPr>
      </w:pPr>
    </w:p>
    <w:p w14:paraId="57636EE7" w14:textId="1D6AE7E5" w:rsidR="00304094" w:rsidRPr="00106F81" w:rsidRDefault="001D22DC" w:rsidP="0079665D">
      <w:pPr>
        <w:numPr>
          <w:ilvl w:val="2"/>
          <w:numId w:val="3"/>
        </w:numPr>
        <w:tabs>
          <w:tab w:val="left" w:pos="450"/>
        </w:tabs>
        <w:rPr>
          <w:rFonts w:ascii="Calibri" w:hAnsi="Calibri" w:cs="Times New Roman"/>
          <w:b/>
          <w:szCs w:val="24"/>
        </w:rPr>
      </w:pPr>
      <w:r w:rsidRPr="00DD2F79">
        <w:rPr>
          <w:rFonts w:ascii="Calibri" w:hAnsi="Calibri" w:cs="Times New Roman"/>
          <w:b/>
          <w:szCs w:val="24"/>
        </w:rPr>
        <w:t xml:space="preserve">Regional </w:t>
      </w:r>
      <w:r w:rsidR="007C01AF">
        <w:rPr>
          <w:rFonts w:ascii="Calibri" w:hAnsi="Calibri" w:cs="Times New Roman"/>
          <w:b/>
          <w:szCs w:val="24"/>
        </w:rPr>
        <w:t>Distribution</w:t>
      </w:r>
      <w:r w:rsidRPr="00DD2F79">
        <w:rPr>
          <w:rFonts w:ascii="Calibri" w:hAnsi="Calibri" w:cs="Times New Roman"/>
          <w:b/>
          <w:szCs w:val="24"/>
        </w:rPr>
        <w:t xml:space="preserve">: </w:t>
      </w:r>
      <w:r w:rsidR="00DD2F79" w:rsidRPr="00DD2F79">
        <w:rPr>
          <w:rFonts w:ascii="Calibri" w:hAnsi="Calibri" w:cs="Times New Roman"/>
          <w:szCs w:val="24"/>
        </w:rPr>
        <w:t xml:space="preserve"> </w:t>
      </w:r>
      <w:r w:rsidR="00DD2F79" w:rsidRPr="00106F81">
        <w:rPr>
          <w:rFonts w:ascii="Calibri" w:hAnsi="Calibri" w:cs="Times New Roman"/>
          <w:szCs w:val="24"/>
        </w:rPr>
        <w:t>NHTF funds will be subject to the R</w:t>
      </w:r>
      <w:r w:rsidR="0039419E" w:rsidRPr="00106F81">
        <w:rPr>
          <w:rFonts w:ascii="Calibri" w:hAnsi="Calibri" w:cs="Times New Roman"/>
          <w:szCs w:val="24"/>
        </w:rPr>
        <w:t>egional Distribution</w:t>
      </w:r>
      <w:r w:rsidR="00DD2F79" w:rsidRPr="00106F81">
        <w:rPr>
          <w:rFonts w:ascii="Calibri" w:hAnsi="Calibri" w:cs="Times New Roman"/>
          <w:szCs w:val="24"/>
        </w:rPr>
        <w:t xml:space="preserve"> </w:t>
      </w:r>
      <w:r w:rsidR="00817A1F" w:rsidRPr="00106F81">
        <w:rPr>
          <w:rFonts w:ascii="Calibri" w:hAnsi="Calibri" w:cs="Times New Roman"/>
          <w:szCs w:val="24"/>
        </w:rPr>
        <w:t>from</w:t>
      </w:r>
      <w:r w:rsidR="00DD2F79" w:rsidRPr="00106F81">
        <w:rPr>
          <w:rFonts w:ascii="Calibri" w:hAnsi="Calibri" w:cs="Times New Roman"/>
          <w:szCs w:val="24"/>
        </w:rPr>
        <w:t xml:space="preserve"> </w:t>
      </w:r>
      <w:r w:rsidR="00373072" w:rsidRPr="00106F81">
        <w:rPr>
          <w:rFonts w:ascii="Calibri" w:hAnsi="Calibri" w:cs="Times New Roman"/>
          <w:szCs w:val="24"/>
        </w:rPr>
        <w:t xml:space="preserve">January </w:t>
      </w:r>
      <w:r w:rsidR="00144A7F" w:rsidRPr="00106F81">
        <w:rPr>
          <w:rFonts w:ascii="Calibri" w:hAnsi="Calibri" w:cs="Times New Roman"/>
          <w:szCs w:val="24"/>
        </w:rPr>
        <w:t>8</w:t>
      </w:r>
      <w:r w:rsidR="00817A1F" w:rsidRPr="00106F81">
        <w:rPr>
          <w:rFonts w:ascii="Calibri" w:hAnsi="Calibri" w:cs="Times New Roman"/>
          <w:szCs w:val="24"/>
        </w:rPr>
        <w:t>, 202</w:t>
      </w:r>
      <w:r w:rsidR="00144A7F" w:rsidRPr="00106F81">
        <w:rPr>
          <w:rFonts w:ascii="Calibri" w:hAnsi="Calibri" w:cs="Times New Roman"/>
          <w:szCs w:val="24"/>
        </w:rPr>
        <w:t>4</w:t>
      </w:r>
      <w:r w:rsidR="00817A1F" w:rsidRPr="00106F81">
        <w:rPr>
          <w:rFonts w:ascii="Calibri" w:hAnsi="Calibri" w:cs="Times New Roman"/>
          <w:szCs w:val="24"/>
        </w:rPr>
        <w:t xml:space="preserve"> </w:t>
      </w:r>
      <w:r w:rsidR="00DD2F79" w:rsidRPr="00106F81">
        <w:rPr>
          <w:rFonts w:ascii="Calibri" w:hAnsi="Calibri" w:cs="Times New Roman"/>
          <w:szCs w:val="24"/>
        </w:rPr>
        <w:t xml:space="preserve">to </w:t>
      </w:r>
      <w:r w:rsidR="00144A7F" w:rsidRPr="00106F81">
        <w:rPr>
          <w:rFonts w:ascii="Calibri" w:hAnsi="Calibri" w:cs="Times New Roman"/>
          <w:szCs w:val="24"/>
        </w:rPr>
        <w:t>February 7, 2024</w:t>
      </w:r>
      <w:r w:rsidR="00E50B7A" w:rsidRPr="00106F81">
        <w:rPr>
          <w:rFonts w:ascii="Calibri" w:hAnsi="Calibri" w:cs="Times New Roman"/>
          <w:szCs w:val="24"/>
        </w:rPr>
        <w:t>, at 5:00 pm Austin Local Time</w:t>
      </w:r>
      <w:r w:rsidR="00817A1F" w:rsidRPr="00106F81">
        <w:rPr>
          <w:rFonts w:ascii="Calibri" w:hAnsi="Calibri" w:cs="Times New Roman"/>
          <w:szCs w:val="24"/>
        </w:rPr>
        <w:t xml:space="preserve">. </w:t>
      </w:r>
      <w:r w:rsidR="00E8304E" w:rsidRPr="00106F81">
        <w:rPr>
          <w:rFonts w:ascii="Calibri" w:hAnsi="Calibri" w:cs="Times New Roman"/>
          <w:szCs w:val="24"/>
        </w:rPr>
        <w:t xml:space="preserve">All </w:t>
      </w:r>
      <w:r w:rsidR="00FC1A09" w:rsidRPr="00106F81">
        <w:rPr>
          <w:rFonts w:ascii="Calibri" w:hAnsi="Calibri" w:cs="Times New Roman"/>
          <w:szCs w:val="24"/>
        </w:rPr>
        <w:t>eligible A</w:t>
      </w:r>
      <w:r w:rsidR="00E8304E" w:rsidRPr="00106F81">
        <w:rPr>
          <w:rFonts w:ascii="Calibri" w:hAnsi="Calibri" w:cs="Times New Roman"/>
          <w:szCs w:val="24"/>
        </w:rPr>
        <w:t xml:space="preserve">pplications submitted during this period will be given </w:t>
      </w:r>
      <w:r w:rsidR="0079665D" w:rsidRPr="00106F81">
        <w:rPr>
          <w:rFonts w:ascii="Calibri" w:hAnsi="Calibri" w:cs="Times New Roman"/>
          <w:szCs w:val="24"/>
        </w:rPr>
        <w:t>an Application Acceptance Date</w:t>
      </w:r>
      <w:r w:rsidR="00E8304E" w:rsidRPr="00106F81">
        <w:rPr>
          <w:rFonts w:ascii="Calibri" w:hAnsi="Calibri" w:cs="Times New Roman"/>
          <w:szCs w:val="24"/>
        </w:rPr>
        <w:t xml:space="preserve"> of </w:t>
      </w:r>
      <w:r w:rsidR="00144A7F" w:rsidRPr="00106F81">
        <w:rPr>
          <w:rFonts w:ascii="Calibri" w:hAnsi="Calibri" w:cs="Times New Roman"/>
          <w:szCs w:val="24"/>
        </w:rPr>
        <w:t>February 7, 2024</w:t>
      </w:r>
      <w:r w:rsidR="00E8304E" w:rsidRPr="00106F81">
        <w:rPr>
          <w:rFonts w:ascii="Calibri" w:hAnsi="Calibri" w:cs="Times New Roman"/>
          <w:szCs w:val="24"/>
        </w:rPr>
        <w:t xml:space="preserve">. </w:t>
      </w:r>
      <w:r w:rsidR="0079665D" w:rsidRPr="00106F81">
        <w:rPr>
          <w:rFonts w:ascii="Calibri" w:hAnsi="Calibri" w:cs="Times New Roman"/>
          <w:szCs w:val="24"/>
        </w:rPr>
        <w:t>The only eligible Applica</w:t>
      </w:r>
      <w:r w:rsidR="00AD01AC" w:rsidRPr="00106F81">
        <w:rPr>
          <w:rFonts w:ascii="Calibri" w:hAnsi="Calibri" w:cs="Times New Roman"/>
          <w:szCs w:val="24"/>
        </w:rPr>
        <w:t>tion</w:t>
      </w:r>
      <w:r w:rsidR="00144A7F" w:rsidRPr="00106F81">
        <w:rPr>
          <w:rFonts w:ascii="Calibri" w:hAnsi="Calibri" w:cs="Times New Roman"/>
          <w:szCs w:val="24"/>
        </w:rPr>
        <w:t>s</w:t>
      </w:r>
      <w:r w:rsidR="0079665D" w:rsidRPr="00106F81">
        <w:rPr>
          <w:rFonts w:ascii="Calibri" w:hAnsi="Calibri" w:cs="Times New Roman"/>
          <w:szCs w:val="24"/>
        </w:rPr>
        <w:t xml:space="preserve"> during the R</w:t>
      </w:r>
      <w:r w:rsidR="007C01AF" w:rsidRPr="00106F81">
        <w:rPr>
          <w:rFonts w:ascii="Calibri" w:hAnsi="Calibri" w:cs="Times New Roman"/>
          <w:szCs w:val="24"/>
        </w:rPr>
        <w:t>egional Distribution</w:t>
      </w:r>
      <w:r w:rsidR="0079665D" w:rsidRPr="00106F81">
        <w:rPr>
          <w:rFonts w:ascii="Calibri" w:hAnsi="Calibri" w:cs="Times New Roman"/>
          <w:szCs w:val="24"/>
        </w:rPr>
        <w:t xml:space="preserve"> period</w:t>
      </w:r>
      <w:r w:rsidR="00144A7F" w:rsidRPr="00106F81">
        <w:rPr>
          <w:rFonts w:ascii="Calibri" w:hAnsi="Calibri" w:cs="Times New Roman"/>
          <w:szCs w:val="24"/>
        </w:rPr>
        <w:t xml:space="preserve"> are those that are concurrently applying for 4% Housing Tax Credits and that</w:t>
      </w:r>
      <w:r w:rsidR="00144A7F">
        <w:rPr>
          <w:rFonts w:ascii="Calibri" w:hAnsi="Calibri" w:cs="Times New Roman"/>
          <w:szCs w:val="24"/>
        </w:rPr>
        <w:t xml:space="preserve"> have not previously received awards of funding from the Department.  </w:t>
      </w:r>
    </w:p>
    <w:p w14:paraId="294F0FBD" w14:textId="77777777" w:rsidR="00106F81" w:rsidRPr="00106F81" w:rsidRDefault="00106F81" w:rsidP="00106F81">
      <w:pPr>
        <w:tabs>
          <w:tab w:val="left" w:pos="450"/>
        </w:tabs>
        <w:ind w:left="2160"/>
        <w:rPr>
          <w:rFonts w:ascii="Calibri" w:hAnsi="Calibri" w:cs="Times New Roman"/>
          <w:b/>
          <w:szCs w:val="24"/>
        </w:rPr>
      </w:pPr>
    </w:p>
    <w:p w14:paraId="498C10BC" w14:textId="718E17E9" w:rsidR="00106F81" w:rsidRPr="00106F81" w:rsidRDefault="00106F81" w:rsidP="00106F81">
      <w:pPr>
        <w:numPr>
          <w:ilvl w:val="2"/>
          <w:numId w:val="3"/>
        </w:numPr>
        <w:tabs>
          <w:tab w:val="left" w:pos="450"/>
        </w:tabs>
        <w:rPr>
          <w:rFonts w:ascii="Calibri" w:hAnsi="Calibri" w:cs="Times New Roman"/>
          <w:b/>
          <w:szCs w:val="24"/>
        </w:rPr>
      </w:pPr>
      <w:r>
        <w:rPr>
          <w:rFonts w:ascii="Calibri" w:hAnsi="Calibri" w:cs="Times New Roman"/>
          <w:b/>
          <w:szCs w:val="24"/>
        </w:rPr>
        <w:t xml:space="preserve">4% Non-RAF: </w:t>
      </w:r>
      <w:r>
        <w:rPr>
          <w:rFonts w:ascii="Calibri" w:hAnsi="Calibri" w:cs="Times New Roman"/>
          <w:szCs w:val="24"/>
        </w:rPr>
        <w:t>From February 8, 2024, to February 9, 2024 at 5:00 pm Austin Local Time.  All eligible Applications submitted during this period will have an Application Acceptance Date of February 9, 2024.  Eligible Applicants during this period are those that are concurrently applying for 4% Housing Tax Credits and that have not previously received awards of funding from the Department.  The minimum request during this period is $4,000,000.</w:t>
      </w:r>
    </w:p>
    <w:p w14:paraId="096B00F8" w14:textId="6624910F" w:rsidR="00DD2F79" w:rsidRPr="00DD2F79" w:rsidRDefault="00DD2F79" w:rsidP="00144A7F">
      <w:pPr>
        <w:tabs>
          <w:tab w:val="left" w:pos="450"/>
        </w:tabs>
        <w:rPr>
          <w:rFonts w:ascii="Calibri" w:hAnsi="Calibri" w:cs="Times New Roman"/>
          <w:b/>
          <w:szCs w:val="24"/>
        </w:rPr>
      </w:pPr>
    </w:p>
    <w:p w14:paraId="6910D8EC" w14:textId="76BE2156" w:rsidR="00304094" w:rsidRDefault="001D22DC" w:rsidP="00304094">
      <w:pPr>
        <w:numPr>
          <w:ilvl w:val="2"/>
          <w:numId w:val="3"/>
        </w:numPr>
        <w:tabs>
          <w:tab w:val="left" w:pos="450"/>
        </w:tabs>
        <w:rPr>
          <w:rFonts w:ascii="Calibri" w:hAnsi="Calibri" w:cs="Times New Roman"/>
          <w:b/>
          <w:szCs w:val="24"/>
        </w:rPr>
      </w:pPr>
      <w:r>
        <w:rPr>
          <w:rFonts w:ascii="Calibri" w:hAnsi="Calibri" w:cs="Times New Roman"/>
          <w:b/>
          <w:szCs w:val="24"/>
        </w:rPr>
        <w:t xml:space="preserve">First Lien: </w:t>
      </w:r>
      <w:r w:rsidR="009272D6">
        <w:rPr>
          <w:rFonts w:ascii="Calibri" w:hAnsi="Calibri" w:cs="Times New Roman"/>
          <w:szCs w:val="24"/>
        </w:rPr>
        <w:t xml:space="preserve">From </w:t>
      </w:r>
      <w:r w:rsidR="00106F81">
        <w:rPr>
          <w:rFonts w:ascii="Calibri" w:hAnsi="Calibri" w:cs="Times New Roman"/>
          <w:szCs w:val="24"/>
        </w:rPr>
        <w:t>February 10</w:t>
      </w:r>
      <w:r w:rsidR="005C5935">
        <w:rPr>
          <w:rFonts w:ascii="Calibri" w:hAnsi="Calibri" w:cs="Times New Roman"/>
          <w:szCs w:val="24"/>
        </w:rPr>
        <w:t>,</w:t>
      </w:r>
      <w:r w:rsidR="00E31500" w:rsidRPr="00E31500">
        <w:rPr>
          <w:rFonts w:ascii="Calibri" w:hAnsi="Calibri" w:cs="Times New Roman"/>
          <w:szCs w:val="24"/>
          <w:vertAlign w:val="superscript"/>
        </w:rPr>
        <w:t xml:space="preserve"> </w:t>
      </w:r>
      <w:r w:rsidR="00144A7F">
        <w:rPr>
          <w:rFonts w:ascii="Calibri" w:hAnsi="Calibri" w:cs="Times New Roman"/>
          <w:szCs w:val="24"/>
        </w:rPr>
        <w:t>2024</w:t>
      </w:r>
      <w:r w:rsidR="00E31500">
        <w:rPr>
          <w:rFonts w:ascii="Calibri" w:hAnsi="Calibri" w:cs="Times New Roman"/>
          <w:szCs w:val="24"/>
        </w:rPr>
        <w:t xml:space="preserve"> to</w:t>
      </w:r>
      <w:r w:rsidR="00106F81">
        <w:rPr>
          <w:rFonts w:ascii="Calibri" w:hAnsi="Calibri" w:cs="Times New Roman"/>
          <w:szCs w:val="24"/>
        </w:rPr>
        <w:t xml:space="preserve"> February 11</w:t>
      </w:r>
      <w:r w:rsidR="005C5935">
        <w:rPr>
          <w:rFonts w:ascii="Calibri" w:hAnsi="Calibri" w:cs="Times New Roman"/>
          <w:szCs w:val="24"/>
        </w:rPr>
        <w:t>,</w:t>
      </w:r>
      <w:r w:rsidR="00FC3C60">
        <w:rPr>
          <w:rFonts w:ascii="Calibri" w:hAnsi="Calibri" w:cs="Times New Roman"/>
          <w:szCs w:val="24"/>
        </w:rPr>
        <w:t xml:space="preserve"> 2024</w:t>
      </w:r>
      <w:r w:rsidR="00E50B7A">
        <w:rPr>
          <w:rFonts w:ascii="Calibri" w:hAnsi="Calibri" w:cs="Times New Roman"/>
          <w:szCs w:val="24"/>
        </w:rPr>
        <w:t>, at 5:00 pm Austin Local Time</w:t>
      </w:r>
      <w:r w:rsidR="009272D6">
        <w:rPr>
          <w:rFonts w:ascii="Calibri" w:hAnsi="Calibri" w:cs="Times New Roman"/>
          <w:szCs w:val="24"/>
        </w:rPr>
        <w:t>.  All eligible Applications submitted during this period will have an</w:t>
      </w:r>
      <w:r w:rsidR="00FC3C60">
        <w:rPr>
          <w:rFonts w:ascii="Calibri" w:hAnsi="Calibri" w:cs="Times New Roman"/>
          <w:szCs w:val="24"/>
        </w:rPr>
        <w:t xml:space="preserve"> Applicati</w:t>
      </w:r>
      <w:r w:rsidR="00106F81">
        <w:rPr>
          <w:rFonts w:ascii="Calibri" w:hAnsi="Calibri" w:cs="Times New Roman"/>
          <w:szCs w:val="24"/>
        </w:rPr>
        <w:t>on Acceptance Date of February 11</w:t>
      </w:r>
      <w:r w:rsidR="009272D6">
        <w:rPr>
          <w:rFonts w:ascii="Calibri" w:hAnsi="Calibri" w:cs="Times New Roman"/>
          <w:szCs w:val="24"/>
        </w:rPr>
        <w:t>, 20</w:t>
      </w:r>
      <w:r w:rsidR="00FC3C60">
        <w:rPr>
          <w:rFonts w:ascii="Calibri" w:hAnsi="Calibri" w:cs="Times New Roman"/>
          <w:szCs w:val="24"/>
        </w:rPr>
        <w:t>24</w:t>
      </w:r>
      <w:r w:rsidR="00791EE6">
        <w:rPr>
          <w:rFonts w:ascii="Calibri" w:hAnsi="Calibri" w:cs="Times New Roman"/>
          <w:szCs w:val="24"/>
        </w:rPr>
        <w:t>,</w:t>
      </w:r>
      <w:r w:rsidR="00817A1F">
        <w:rPr>
          <w:rFonts w:ascii="Calibri" w:hAnsi="Calibri" w:cs="Times New Roman"/>
          <w:szCs w:val="24"/>
        </w:rPr>
        <w:t xml:space="preserve"> conditional upon being listed as first </w:t>
      </w:r>
      <w:r w:rsidR="00D178C7">
        <w:rPr>
          <w:rFonts w:ascii="Calibri" w:hAnsi="Calibri" w:cs="Times New Roman"/>
          <w:szCs w:val="24"/>
        </w:rPr>
        <w:t>l</w:t>
      </w:r>
      <w:r w:rsidR="00817A1F">
        <w:rPr>
          <w:rFonts w:ascii="Calibri" w:hAnsi="Calibri" w:cs="Times New Roman"/>
          <w:szCs w:val="24"/>
        </w:rPr>
        <w:t xml:space="preserve">ien </w:t>
      </w:r>
      <w:r w:rsidR="009272D6">
        <w:rPr>
          <w:rFonts w:ascii="Calibri" w:hAnsi="Calibri" w:cs="Times New Roman"/>
          <w:szCs w:val="24"/>
        </w:rPr>
        <w:t xml:space="preserve">during the permanent period </w:t>
      </w:r>
      <w:r w:rsidR="00817A1F">
        <w:rPr>
          <w:rFonts w:ascii="Calibri" w:hAnsi="Calibri" w:cs="Times New Roman"/>
          <w:szCs w:val="24"/>
        </w:rPr>
        <w:t xml:space="preserve">on the Sources and Uses tab. </w:t>
      </w:r>
      <w:r w:rsidR="00D178C7">
        <w:rPr>
          <w:rFonts w:ascii="Calibri" w:hAnsi="Calibri" w:cs="Times New Roman"/>
          <w:szCs w:val="24"/>
        </w:rPr>
        <w:t>Any application submitted with their funding request listed in another position wil</w:t>
      </w:r>
      <w:r w:rsidR="00106F81">
        <w:rPr>
          <w:rFonts w:ascii="Calibri" w:hAnsi="Calibri" w:cs="Times New Roman"/>
          <w:szCs w:val="24"/>
        </w:rPr>
        <w:t>l not be accepted as this time.  The minimum request during this period is $4,000,000.</w:t>
      </w:r>
    </w:p>
    <w:p w14:paraId="465EC3BB" w14:textId="77777777" w:rsidR="00304094" w:rsidRDefault="00304094" w:rsidP="00304094">
      <w:pPr>
        <w:tabs>
          <w:tab w:val="left" w:pos="450"/>
        </w:tabs>
        <w:ind w:left="2160"/>
        <w:rPr>
          <w:rFonts w:ascii="Calibri" w:hAnsi="Calibri" w:cs="Times New Roman"/>
          <w:b/>
          <w:szCs w:val="24"/>
        </w:rPr>
      </w:pPr>
      <w:r>
        <w:rPr>
          <w:rFonts w:ascii="Calibri" w:hAnsi="Calibri" w:cs="Times New Roman"/>
          <w:b/>
          <w:szCs w:val="24"/>
        </w:rPr>
        <w:t xml:space="preserve"> </w:t>
      </w:r>
    </w:p>
    <w:p w14:paraId="3C87A949" w14:textId="4ABB69F5" w:rsidR="00304094" w:rsidRDefault="001D22DC" w:rsidP="00304094">
      <w:pPr>
        <w:numPr>
          <w:ilvl w:val="2"/>
          <w:numId w:val="3"/>
        </w:numPr>
        <w:tabs>
          <w:tab w:val="left" w:pos="450"/>
        </w:tabs>
        <w:rPr>
          <w:rFonts w:ascii="Calibri" w:hAnsi="Calibri" w:cs="Times New Roman"/>
          <w:b/>
          <w:szCs w:val="24"/>
        </w:rPr>
      </w:pPr>
      <w:r>
        <w:rPr>
          <w:rFonts w:ascii="Calibri" w:hAnsi="Calibri" w:cs="Times New Roman"/>
          <w:b/>
          <w:szCs w:val="24"/>
        </w:rPr>
        <w:t xml:space="preserve">Open Applications: </w:t>
      </w:r>
      <w:r w:rsidR="00E31500">
        <w:rPr>
          <w:rFonts w:ascii="Calibri" w:hAnsi="Calibri" w:cs="Times New Roman"/>
          <w:b/>
          <w:szCs w:val="24"/>
        </w:rPr>
        <w:t>Starting on</w:t>
      </w:r>
      <w:r w:rsidR="00106F81">
        <w:rPr>
          <w:rFonts w:ascii="Calibri" w:hAnsi="Calibri" w:cs="Times New Roman"/>
          <w:b/>
          <w:szCs w:val="24"/>
        </w:rPr>
        <w:t xml:space="preserve"> February 12</w:t>
      </w:r>
      <w:r w:rsidR="009272D6">
        <w:rPr>
          <w:rFonts w:ascii="Calibri" w:hAnsi="Calibri" w:cs="Times New Roman"/>
          <w:b/>
          <w:szCs w:val="24"/>
        </w:rPr>
        <w:t>, 202</w:t>
      </w:r>
      <w:r w:rsidR="00106F81">
        <w:rPr>
          <w:rFonts w:ascii="Calibri" w:hAnsi="Calibri" w:cs="Times New Roman"/>
          <w:b/>
          <w:szCs w:val="24"/>
        </w:rPr>
        <w:t>4</w:t>
      </w:r>
      <w:r w:rsidR="00E50B7A">
        <w:rPr>
          <w:rFonts w:ascii="Calibri" w:hAnsi="Calibri" w:cs="Times New Roman"/>
          <w:b/>
          <w:szCs w:val="24"/>
        </w:rPr>
        <w:t>,</w:t>
      </w:r>
      <w:r w:rsidR="00E31500">
        <w:rPr>
          <w:rFonts w:ascii="Calibri" w:hAnsi="Calibri" w:cs="Times New Roman"/>
          <w:b/>
          <w:szCs w:val="24"/>
        </w:rPr>
        <w:t xml:space="preserve"> </w:t>
      </w:r>
      <w:r w:rsidR="00E50B7A">
        <w:rPr>
          <w:rFonts w:ascii="Calibri" w:hAnsi="Calibri" w:cs="Times New Roman"/>
          <w:szCs w:val="24"/>
        </w:rPr>
        <w:t>all eligible Applications will have an  Application Acceptance Date on the business date of receipt ending at 5:00 pm Austin Local Time</w:t>
      </w:r>
    </w:p>
    <w:p w14:paraId="524517E2" w14:textId="12DCB3E6" w:rsidR="007D6A42" w:rsidRPr="00E50B7A" w:rsidRDefault="007D6A42" w:rsidP="00106F81">
      <w:pPr>
        <w:tabs>
          <w:tab w:val="left" w:pos="450"/>
        </w:tabs>
        <w:rPr>
          <w:rFonts w:ascii="Calibri" w:hAnsi="Calibri" w:cs="Times New Roman"/>
          <w:b/>
          <w:szCs w:val="24"/>
        </w:rPr>
      </w:pPr>
    </w:p>
    <w:p w14:paraId="4852C1ED" w14:textId="4C5A0BB5" w:rsidR="00304094" w:rsidRDefault="001D22DC" w:rsidP="00304094">
      <w:pPr>
        <w:numPr>
          <w:ilvl w:val="1"/>
          <w:numId w:val="3"/>
        </w:numPr>
        <w:tabs>
          <w:tab w:val="left" w:pos="450"/>
        </w:tabs>
        <w:rPr>
          <w:rFonts w:ascii="Calibri" w:hAnsi="Calibri" w:cs="Times New Roman"/>
          <w:b/>
          <w:szCs w:val="24"/>
        </w:rPr>
      </w:pPr>
      <w:r>
        <w:rPr>
          <w:rFonts w:ascii="Calibri" w:hAnsi="Calibri" w:cs="Times New Roman"/>
          <w:b/>
          <w:szCs w:val="24"/>
        </w:rPr>
        <w:t>Priorities:</w:t>
      </w:r>
      <w:r w:rsidR="006301FF">
        <w:rPr>
          <w:rFonts w:ascii="Calibri" w:hAnsi="Calibri" w:cs="Times New Roman"/>
          <w:b/>
          <w:szCs w:val="24"/>
        </w:rPr>
        <w:t xml:space="preserve"> </w:t>
      </w:r>
      <w:r w:rsidR="006301FF" w:rsidRPr="006301FF">
        <w:rPr>
          <w:rFonts w:ascii="Calibri" w:hAnsi="Calibri" w:cs="Times New Roman"/>
          <w:szCs w:val="24"/>
        </w:rPr>
        <w:t xml:space="preserve">Within each of the above </w:t>
      </w:r>
      <w:r w:rsidR="001F5E55">
        <w:rPr>
          <w:rFonts w:ascii="Calibri" w:hAnsi="Calibri" w:cs="Times New Roman"/>
          <w:szCs w:val="24"/>
        </w:rPr>
        <w:t xml:space="preserve">Application </w:t>
      </w:r>
      <w:r w:rsidR="00C6721E">
        <w:rPr>
          <w:rFonts w:ascii="Calibri" w:hAnsi="Calibri" w:cs="Times New Roman"/>
          <w:szCs w:val="24"/>
        </w:rPr>
        <w:t>acceptance periods</w:t>
      </w:r>
      <w:r w:rsidR="006301FF">
        <w:rPr>
          <w:rFonts w:ascii="Calibri" w:hAnsi="Calibri" w:cs="Times New Roman"/>
          <w:szCs w:val="24"/>
        </w:rPr>
        <w:t>,</w:t>
      </w:r>
      <w:r w:rsidR="001F5E55">
        <w:rPr>
          <w:rFonts w:ascii="Calibri" w:hAnsi="Calibri" w:cs="Times New Roman"/>
          <w:szCs w:val="24"/>
        </w:rPr>
        <w:t xml:space="preserve"> except the R</w:t>
      </w:r>
      <w:r w:rsidR="007C01AF">
        <w:rPr>
          <w:rFonts w:ascii="Calibri" w:hAnsi="Calibri" w:cs="Times New Roman"/>
          <w:szCs w:val="24"/>
        </w:rPr>
        <w:t>egional Distribution period</w:t>
      </w:r>
      <w:r w:rsidR="001F5E55">
        <w:rPr>
          <w:rFonts w:ascii="Calibri" w:hAnsi="Calibri" w:cs="Times New Roman"/>
          <w:szCs w:val="24"/>
        </w:rPr>
        <w:t>,</w:t>
      </w:r>
      <w:r w:rsidR="006301FF">
        <w:rPr>
          <w:rFonts w:ascii="Calibri" w:hAnsi="Calibri" w:cs="Times New Roman"/>
          <w:szCs w:val="24"/>
        </w:rPr>
        <w:t xml:space="preserve"> staff will determine </w:t>
      </w:r>
      <w:r w:rsidR="00B737C8">
        <w:rPr>
          <w:rFonts w:ascii="Calibri" w:hAnsi="Calibri" w:cs="Times New Roman"/>
          <w:szCs w:val="24"/>
        </w:rPr>
        <w:t>application priority</w:t>
      </w:r>
      <w:r w:rsidR="006301FF" w:rsidRPr="006301FF">
        <w:rPr>
          <w:rFonts w:ascii="Calibri" w:hAnsi="Calibri" w:cs="Times New Roman"/>
          <w:szCs w:val="24"/>
        </w:rPr>
        <w:t xml:space="preserve"> based upon </w:t>
      </w:r>
      <w:r w:rsidR="006301FF">
        <w:rPr>
          <w:rFonts w:ascii="Calibri" w:hAnsi="Calibri" w:cs="Times New Roman"/>
          <w:szCs w:val="24"/>
        </w:rPr>
        <w:t>three</w:t>
      </w:r>
      <w:r w:rsidR="006301FF" w:rsidRPr="006301FF">
        <w:rPr>
          <w:rFonts w:ascii="Calibri" w:hAnsi="Calibri" w:cs="Times New Roman"/>
          <w:szCs w:val="24"/>
        </w:rPr>
        <w:t xml:space="preserve"> clearly delineated </w:t>
      </w:r>
      <w:r w:rsidR="00B737C8">
        <w:rPr>
          <w:rFonts w:ascii="Calibri" w:hAnsi="Calibri" w:cs="Times New Roman"/>
          <w:szCs w:val="24"/>
        </w:rPr>
        <w:t>criteria</w:t>
      </w:r>
      <w:r w:rsidR="006301FF" w:rsidRPr="006301FF">
        <w:rPr>
          <w:rFonts w:ascii="Calibri" w:hAnsi="Calibri" w:cs="Times New Roman"/>
          <w:szCs w:val="24"/>
        </w:rPr>
        <w:t>.</w:t>
      </w:r>
      <w:r w:rsidR="006301FF">
        <w:rPr>
          <w:rFonts w:ascii="Calibri" w:hAnsi="Calibri" w:cs="Times New Roman"/>
          <w:b/>
          <w:szCs w:val="24"/>
        </w:rPr>
        <w:t xml:space="preserve"> </w:t>
      </w:r>
      <w:r w:rsidR="006301FF">
        <w:rPr>
          <w:rFonts w:ascii="Calibri" w:hAnsi="Calibri" w:cs="Times New Roman"/>
          <w:szCs w:val="24"/>
        </w:rPr>
        <w:t xml:space="preserve">The order of reviews and eventual funding will first be based upon </w:t>
      </w:r>
      <w:r w:rsidR="00C6721E">
        <w:rPr>
          <w:rFonts w:ascii="Calibri" w:hAnsi="Calibri" w:cs="Times New Roman"/>
          <w:szCs w:val="24"/>
        </w:rPr>
        <w:t>P</w:t>
      </w:r>
      <w:r w:rsidR="006301FF">
        <w:rPr>
          <w:rFonts w:ascii="Calibri" w:hAnsi="Calibri" w:cs="Times New Roman"/>
          <w:szCs w:val="24"/>
        </w:rPr>
        <w:t xml:space="preserve">riority 1. Staff will move on to </w:t>
      </w:r>
      <w:r w:rsidR="00C6721E">
        <w:rPr>
          <w:rFonts w:ascii="Calibri" w:hAnsi="Calibri" w:cs="Times New Roman"/>
          <w:szCs w:val="24"/>
        </w:rPr>
        <w:t>P</w:t>
      </w:r>
      <w:r w:rsidR="006301FF">
        <w:rPr>
          <w:rFonts w:ascii="Calibri" w:hAnsi="Calibri" w:cs="Times New Roman"/>
          <w:szCs w:val="24"/>
        </w:rPr>
        <w:t xml:space="preserve">riorities 2 and 3 only if a tie occurs and </w:t>
      </w:r>
      <w:r w:rsidR="00C42A4A">
        <w:rPr>
          <w:rFonts w:ascii="Calibri" w:hAnsi="Calibri" w:cs="Times New Roman"/>
          <w:szCs w:val="24"/>
        </w:rPr>
        <w:t xml:space="preserve">each </w:t>
      </w:r>
      <w:r w:rsidR="00C6721E">
        <w:rPr>
          <w:rFonts w:ascii="Calibri" w:hAnsi="Calibri" w:cs="Times New Roman"/>
          <w:szCs w:val="24"/>
        </w:rPr>
        <w:t>A</w:t>
      </w:r>
      <w:r w:rsidR="00C42A4A">
        <w:rPr>
          <w:rFonts w:ascii="Calibri" w:hAnsi="Calibri" w:cs="Times New Roman"/>
          <w:szCs w:val="24"/>
        </w:rPr>
        <w:t>pplication</w:t>
      </w:r>
      <w:r w:rsidR="006301FF">
        <w:rPr>
          <w:rFonts w:ascii="Calibri" w:hAnsi="Calibri" w:cs="Times New Roman"/>
          <w:szCs w:val="24"/>
        </w:rPr>
        <w:t xml:space="preserve"> cannot be funded.</w:t>
      </w:r>
      <w:r w:rsidR="001F5E55">
        <w:rPr>
          <w:rFonts w:ascii="Calibri" w:hAnsi="Calibri" w:cs="Times New Roman"/>
          <w:szCs w:val="24"/>
        </w:rPr>
        <w:t xml:space="preserve">  During the </w:t>
      </w:r>
      <w:r w:rsidR="007C01AF">
        <w:rPr>
          <w:rFonts w:ascii="Calibri" w:hAnsi="Calibri" w:cs="Times New Roman"/>
          <w:szCs w:val="24"/>
        </w:rPr>
        <w:t>Regional Distribution</w:t>
      </w:r>
      <w:r w:rsidR="001F5E55">
        <w:rPr>
          <w:rFonts w:ascii="Calibri" w:hAnsi="Calibri" w:cs="Times New Roman"/>
          <w:szCs w:val="24"/>
        </w:rPr>
        <w:t xml:space="preserve"> Application Acceptance Period, Priorities 2 and 3 will be used.</w:t>
      </w:r>
    </w:p>
    <w:p w14:paraId="29E68727" w14:textId="77777777" w:rsidR="00304094" w:rsidRDefault="00304094" w:rsidP="00304094">
      <w:pPr>
        <w:tabs>
          <w:tab w:val="left" w:pos="450"/>
        </w:tabs>
        <w:ind w:left="1440"/>
        <w:rPr>
          <w:rFonts w:ascii="Calibri" w:hAnsi="Calibri" w:cs="Times New Roman"/>
          <w:b/>
          <w:szCs w:val="24"/>
        </w:rPr>
      </w:pPr>
    </w:p>
    <w:p w14:paraId="0BDBA5C8" w14:textId="6CC21910" w:rsidR="00304094" w:rsidRPr="006301FF" w:rsidRDefault="00304094" w:rsidP="00812373">
      <w:pPr>
        <w:numPr>
          <w:ilvl w:val="2"/>
          <w:numId w:val="3"/>
        </w:numPr>
        <w:tabs>
          <w:tab w:val="left" w:pos="450"/>
        </w:tabs>
        <w:rPr>
          <w:rFonts w:ascii="Calibri" w:hAnsi="Calibri" w:cs="Times New Roman"/>
          <w:b/>
          <w:szCs w:val="24"/>
        </w:rPr>
      </w:pPr>
      <w:r>
        <w:rPr>
          <w:rFonts w:ascii="Calibri" w:hAnsi="Calibri" w:cs="Times New Roman"/>
          <w:b/>
          <w:szCs w:val="24"/>
        </w:rPr>
        <w:t xml:space="preserve">Priority </w:t>
      </w:r>
      <w:r w:rsidR="00FE1A09">
        <w:rPr>
          <w:rFonts w:ascii="Calibri" w:hAnsi="Calibri" w:cs="Times New Roman"/>
          <w:b/>
          <w:szCs w:val="24"/>
        </w:rPr>
        <w:t>1</w:t>
      </w:r>
      <w:r>
        <w:rPr>
          <w:rFonts w:ascii="Calibri" w:hAnsi="Calibri" w:cs="Times New Roman"/>
          <w:b/>
          <w:szCs w:val="24"/>
        </w:rPr>
        <w:t xml:space="preserve">: </w:t>
      </w:r>
      <w:r w:rsidR="006301FF">
        <w:rPr>
          <w:rFonts w:ascii="Calibri" w:hAnsi="Calibri" w:cs="Times New Roman"/>
          <w:szCs w:val="24"/>
        </w:rPr>
        <w:t xml:space="preserve">Staff </w:t>
      </w:r>
      <w:r w:rsidR="001D22DC" w:rsidRPr="006301FF">
        <w:rPr>
          <w:rFonts w:ascii="Calibri" w:hAnsi="Calibri" w:cs="Times New Roman"/>
          <w:szCs w:val="24"/>
        </w:rPr>
        <w:t>will</w:t>
      </w:r>
      <w:r w:rsidR="006301FF">
        <w:rPr>
          <w:rFonts w:ascii="Calibri" w:hAnsi="Calibri" w:cs="Times New Roman"/>
          <w:szCs w:val="24"/>
        </w:rPr>
        <w:t xml:space="preserve"> first</w:t>
      </w:r>
      <w:r w:rsidR="001D22DC" w:rsidRPr="006301FF">
        <w:rPr>
          <w:rFonts w:ascii="Calibri" w:hAnsi="Calibri" w:cs="Times New Roman"/>
          <w:szCs w:val="24"/>
        </w:rPr>
        <w:t xml:space="preserve"> prioritize applications</w:t>
      </w:r>
      <w:r w:rsidR="00C6721E">
        <w:rPr>
          <w:rFonts w:ascii="Calibri" w:hAnsi="Calibri" w:cs="Times New Roman"/>
          <w:szCs w:val="24"/>
        </w:rPr>
        <w:t xml:space="preserve"> with the same Application Acceptance Date</w:t>
      </w:r>
      <w:r w:rsidR="001D22DC" w:rsidRPr="006301FF">
        <w:rPr>
          <w:rFonts w:ascii="Calibri" w:hAnsi="Calibri" w:cs="Times New Roman"/>
          <w:szCs w:val="24"/>
        </w:rPr>
        <w:t xml:space="preserve"> based upon the amount </w:t>
      </w:r>
      <w:r w:rsidR="006301FF">
        <w:rPr>
          <w:rFonts w:ascii="Calibri" w:hAnsi="Calibri" w:cs="Times New Roman"/>
          <w:szCs w:val="24"/>
        </w:rPr>
        <w:t xml:space="preserve">of NHTF funds </w:t>
      </w:r>
      <w:r w:rsidR="001D22DC" w:rsidRPr="006301FF">
        <w:rPr>
          <w:rFonts w:ascii="Calibri" w:hAnsi="Calibri" w:cs="Times New Roman"/>
          <w:szCs w:val="24"/>
        </w:rPr>
        <w:t xml:space="preserve">requested. </w:t>
      </w:r>
      <w:r w:rsidR="00106F81">
        <w:rPr>
          <w:rFonts w:ascii="Calibri" w:hAnsi="Calibri" w:cs="Times New Roman"/>
          <w:szCs w:val="24"/>
        </w:rPr>
        <w:t>Staff will give priority</w:t>
      </w:r>
      <w:r w:rsidR="006301FF">
        <w:rPr>
          <w:rFonts w:ascii="Calibri" w:hAnsi="Calibri" w:cs="Times New Roman"/>
          <w:szCs w:val="24"/>
        </w:rPr>
        <w:t xml:space="preserve"> to applications requesting larger amounts</w:t>
      </w:r>
      <w:r w:rsidR="001D22DC" w:rsidRPr="006301FF">
        <w:rPr>
          <w:rFonts w:ascii="Calibri" w:hAnsi="Calibri" w:cs="Times New Roman"/>
          <w:szCs w:val="24"/>
        </w:rPr>
        <w:t xml:space="preserve">. </w:t>
      </w:r>
    </w:p>
    <w:p w14:paraId="0473AF7E" w14:textId="77777777" w:rsidR="00304094" w:rsidRDefault="00304094" w:rsidP="00304094">
      <w:pPr>
        <w:tabs>
          <w:tab w:val="left" w:pos="450"/>
        </w:tabs>
        <w:ind w:left="2160"/>
        <w:rPr>
          <w:rFonts w:ascii="Calibri" w:hAnsi="Calibri" w:cs="Times New Roman"/>
          <w:b/>
          <w:szCs w:val="24"/>
        </w:rPr>
      </w:pPr>
    </w:p>
    <w:p w14:paraId="65203356" w14:textId="4624E115" w:rsidR="00B737C8" w:rsidRDefault="001D22DC" w:rsidP="000112C6">
      <w:pPr>
        <w:numPr>
          <w:ilvl w:val="2"/>
          <w:numId w:val="3"/>
        </w:numPr>
        <w:tabs>
          <w:tab w:val="left" w:pos="450"/>
        </w:tabs>
        <w:rPr>
          <w:rFonts w:ascii="Calibri" w:hAnsi="Calibri" w:cs="Times New Roman"/>
          <w:szCs w:val="24"/>
        </w:rPr>
      </w:pPr>
      <w:r>
        <w:rPr>
          <w:rFonts w:ascii="Calibri" w:hAnsi="Calibri" w:cs="Times New Roman"/>
          <w:b/>
          <w:szCs w:val="24"/>
        </w:rPr>
        <w:t xml:space="preserve">Priority </w:t>
      </w:r>
      <w:r w:rsidR="00FE1A09">
        <w:rPr>
          <w:rFonts w:ascii="Calibri" w:hAnsi="Calibri" w:cs="Times New Roman"/>
          <w:b/>
          <w:szCs w:val="24"/>
        </w:rPr>
        <w:t>2</w:t>
      </w:r>
      <w:r>
        <w:rPr>
          <w:rFonts w:ascii="Calibri" w:hAnsi="Calibri" w:cs="Times New Roman"/>
          <w:b/>
          <w:szCs w:val="24"/>
        </w:rPr>
        <w:t xml:space="preserve">: </w:t>
      </w:r>
      <w:r w:rsidR="00691D2B">
        <w:rPr>
          <w:rFonts w:ascii="Calibri" w:hAnsi="Calibri" w:cs="Times New Roman"/>
          <w:szCs w:val="24"/>
        </w:rPr>
        <w:t>I</w:t>
      </w:r>
      <w:r>
        <w:rPr>
          <w:rFonts w:ascii="Calibri" w:hAnsi="Calibri" w:cs="Times New Roman"/>
          <w:szCs w:val="24"/>
        </w:rPr>
        <w:t xml:space="preserve">f </w:t>
      </w:r>
      <w:r w:rsidR="00C808D0">
        <w:rPr>
          <w:rFonts w:ascii="Calibri" w:hAnsi="Calibri" w:cs="Times New Roman"/>
          <w:szCs w:val="24"/>
        </w:rPr>
        <w:t>multiple</w:t>
      </w:r>
      <w:r w:rsidR="006301FF">
        <w:rPr>
          <w:rFonts w:ascii="Calibri" w:hAnsi="Calibri" w:cs="Times New Roman"/>
          <w:szCs w:val="24"/>
        </w:rPr>
        <w:t xml:space="preserve"> applications </w:t>
      </w:r>
      <w:r w:rsidR="00B737C8">
        <w:rPr>
          <w:rFonts w:ascii="Calibri" w:hAnsi="Calibri" w:cs="Times New Roman"/>
          <w:szCs w:val="24"/>
        </w:rPr>
        <w:t xml:space="preserve">with the same </w:t>
      </w:r>
      <w:r w:rsidR="00E50B7A">
        <w:rPr>
          <w:rFonts w:ascii="Calibri" w:hAnsi="Calibri" w:cs="Times New Roman"/>
          <w:szCs w:val="24"/>
        </w:rPr>
        <w:t>Application A</w:t>
      </w:r>
      <w:r w:rsidR="00B737C8">
        <w:rPr>
          <w:rFonts w:ascii="Calibri" w:hAnsi="Calibri" w:cs="Times New Roman"/>
          <w:szCs w:val="24"/>
        </w:rPr>
        <w:t xml:space="preserve">cceptance </w:t>
      </w:r>
      <w:r w:rsidR="00E50B7A">
        <w:rPr>
          <w:rFonts w:ascii="Calibri" w:hAnsi="Calibri" w:cs="Times New Roman"/>
          <w:szCs w:val="24"/>
        </w:rPr>
        <w:t>D</w:t>
      </w:r>
      <w:r w:rsidR="00B737C8">
        <w:rPr>
          <w:rFonts w:ascii="Calibri" w:hAnsi="Calibri" w:cs="Times New Roman"/>
          <w:szCs w:val="24"/>
        </w:rPr>
        <w:t xml:space="preserve">ate </w:t>
      </w:r>
      <w:r>
        <w:rPr>
          <w:rFonts w:ascii="Calibri" w:hAnsi="Calibri" w:cs="Times New Roman"/>
          <w:szCs w:val="24"/>
        </w:rPr>
        <w:t xml:space="preserve">cannot be funded, staff will </w:t>
      </w:r>
      <w:r w:rsidR="00106F81">
        <w:rPr>
          <w:rFonts w:ascii="Calibri" w:hAnsi="Calibri" w:cs="Times New Roman"/>
          <w:szCs w:val="24"/>
        </w:rPr>
        <w:t>review</w:t>
      </w:r>
      <w:r w:rsidR="00B737C8">
        <w:rPr>
          <w:rFonts w:ascii="Calibri" w:hAnsi="Calibri" w:cs="Times New Roman"/>
          <w:szCs w:val="24"/>
        </w:rPr>
        <w:t xml:space="preserve"> each in accordance with </w:t>
      </w:r>
      <w:r w:rsidR="00B737C8" w:rsidRPr="00B737C8">
        <w:rPr>
          <w:rFonts w:ascii="Calibri" w:hAnsi="Calibri" w:cs="Times New Roman"/>
          <w:b/>
          <w:szCs w:val="24"/>
        </w:rPr>
        <w:t xml:space="preserve">10 TAC </w:t>
      </w:r>
      <w:r w:rsidR="00FF4554">
        <w:rPr>
          <w:rFonts w:ascii="Calibri" w:hAnsi="Calibri" w:cs="Times New Roman"/>
          <w:b/>
          <w:szCs w:val="24"/>
        </w:rPr>
        <w:t>§</w:t>
      </w:r>
      <w:r w:rsidR="00106F81">
        <w:rPr>
          <w:rFonts w:ascii="Calibri" w:hAnsi="Calibri" w:cs="Times New Roman"/>
          <w:b/>
          <w:szCs w:val="24"/>
        </w:rPr>
        <w:t>11.7</w:t>
      </w:r>
      <w:r w:rsidR="00B737C8">
        <w:rPr>
          <w:rFonts w:ascii="Calibri" w:hAnsi="Calibri" w:cs="Times New Roman"/>
          <w:b/>
          <w:szCs w:val="24"/>
        </w:rPr>
        <w:t xml:space="preserve"> </w:t>
      </w:r>
      <w:r w:rsidR="00B737C8">
        <w:rPr>
          <w:rFonts w:ascii="Calibri" w:hAnsi="Calibri" w:cs="Times New Roman"/>
          <w:szCs w:val="24"/>
        </w:rPr>
        <w:t xml:space="preserve">and </w:t>
      </w:r>
      <w:r w:rsidR="00C42A4A">
        <w:rPr>
          <w:rFonts w:ascii="Calibri" w:hAnsi="Calibri" w:cs="Times New Roman"/>
          <w:szCs w:val="24"/>
        </w:rPr>
        <w:t>give precedence to</w:t>
      </w:r>
      <w:r w:rsidR="00B737C8">
        <w:rPr>
          <w:rFonts w:ascii="Calibri" w:hAnsi="Calibri" w:cs="Times New Roman"/>
          <w:szCs w:val="24"/>
        </w:rPr>
        <w:t xml:space="preserve"> the </w:t>
      </w:r>
      <w:r w:rsidR="00106F81">
        <w:rPr>
          <w:rFonts w:ascii="Calibri" w:hAnsi="Calibri" w:cs="Times New Roman"/>
          <w:szCs w:val="24"/>
        </w:rPr>
        <w:t>most competitive</w:t>
      </w:r>
      <w:r w:rsidR="00E50B7A">
        <w:rPr>
          <w:rFonts w:ascii="Calibri" w:hAnsi="Calibri" w:cs="Times New Roman"/>
          <w:szCs w:val="24"/>
        </w:rPr>
        <w:t xml:space="preserve"> </w:t>
      </w:r>
      <w:r w:rsidR="00B737C8">
        <w:rPr>
          <w:rFonts w:ascii="Calibri" w:hAnsi="Calibri" w:cs="Times New Roman"/>
          <w:szCs w:val="24"/>
        </w:rPr>
        <w:t>application</w:t>
      </w:r>
      <w:r w:rsidR="00106F81">
        <w:rPr>
          <w:rFonts w:ascii="Calibri" w:hAnsi="Calibri" w:cs="Times New Roman"/>
          <w:szCs w:val="24"/>
        </w:rPr>
        <w:t xml:space="preserve"> as determined by the</w:t>
      </w:r>
      <w:r w:rsidR="00E50B7A">
        <w:rPr>
          <w:rFonts w:ascii="Calibri" w:hAnsi="Calibri" w:cs="Times New Roman"/>
          <w:szCs w:val="24"/>
        </w:rPr>
        <w:t xml:space="preserve"> tie-breaker</w:t>
      </w:r>
      <w:r w:rsidR="00B737C8">
        <w:rPr>
          <w:rFonts w:ascii="Calibri" w:hAnsi="Calibri" w:cs="Times New Roman"/>
          <w:b/>
          <w:szCs w:val="24"/>
        </w:rPr>
        <w:t xml:space="preserve">. </w:t>
      </w:r>
    </w:p>
    <w:p w14:paraId="1F5E5DC9" w14:textId="77777777" w:rsidR="00304094" w:rsidRDefault="00304094" w:rsidP="00304094">
      <w:pPr>
        <w:tabs>
          <w:tab w:val="left" w:pos="450"/>
        </w:tabs>
        <w:ind w:left="2160"/>
        <w:rPr>
          <w:rFonts w:ascii="Calibri" w:hAnsi="Calibri" w:cs="Times New Roman"/>
          <w:b/>
          <w:szCs w:val="24"/>
        </w:rPr>
      </w:pPr>
    </w:p>
    <w:p w14:paraId="02409EF2" w14:textId="5DBE2B18" w:rsidR="00304094" w:rsidRDefault="001D22DC" w:rsidP="00304094">
      <w:pPr>
        <w:numPr>
          <w:ilvl w:val="2"/>
          <w:numId w:val="3"/>
        </w:numPr>
        <w:tabs>
          <w:tab w:val="left" w:pos="450"/>
        </w:tabs>
        <w:rPr>
          <w:rFonts w:ascii="Calibri" w:hAnsi="Calibri" w:cs="Times New Roman"/>
          <w:b/>
          <w:szCs w:val="24"/>
        </w:rPr>
      </w:pPr>
      <w:r>
        <w:rPr>
          <w:rFonts w:ascii="Calibri" w:hAnsi="Calibri" w:cs="Times New Roman"/>
          <w:b/>
          <w:szCs w:val="24"/>
        </w:rPr>
        <w:t xml:space="preserve">Priority </w:t>
      </w:r>
      <w:r w:rsidR="00FE1A09">
        <w:rPr>
          <w:rFonts w:ascii="Calibri" w:hAnsi="Calibri" w:cs="Times New Roman"/>
          <w:b/>
          <w:szCs w:val="24"/>
        </w:rPr>
        <w:t>3</w:t>
      </w:r>
      <w:r>
        <w:rPr>
          <w:rFonts w:ascii="Calibri" w:hAnsi="Calibri" w:cs="Times New Roman"/>
          <w:b/>
          <w:szCs w:val="24"/>
        </w:rPr>
        <w:t xml:space="preserve">: </w:t>
      </w:r>
      <w:r w:rsidR="00691D2B">
        <w:rPr>
          <w:rFonts w:ascii="Calibri" w:hAnsi="Calibri" w:cs="Times New Roman"/>
          <w:szCs w:val="24"/>
        </w:rPr>
        <w:t>I</w:t>
      </w:r>
      <w:r w:rsidR="000112C6">
        <w:rPr>
          <w:rFonts w:ascii="Calibri" w:hAnsi="Calibri" w:cs="Times New Roman"/>
          <w:szCs w:val="24"/>
        </w:rPr>
        <w:t xml:space="preserve">f a tie persists, staff will </w:t>
      </w:r>
      <w:r w:rsidR="00F41DEA">
        <w:rPr>
          <w:rFonts w:ascii="Calibri" w:hAnsi="Calibri" w:cs="Times New Roman"/>
          <w:szCs w:val="24"/>
        </w:rPr>
        <w:t xml:space="preserve">fund </w:t>
      </w:r>
      <w:r w:rsidR="000112C6">
        <w:rPr>
          <w:rFonts w:ascii="Calibri" w:hAnsi="Calibri" w:cs="Times New Roman"/>
          <w:szCs w:val="24"/>
        </w:rPr>
        <w:t xml:space="preserve">the application </w:t>
      </w:r>
      <w:r w:rsidR="00915537">
        <w:rPr>
          <w:rFonts w:ascii="Calibri" w:hAnsi="Calibri" w:cs="Times New Roman"/>
          <w:szCs w:val="24"/>
        </w:rPr>
        <w:t xml:space="preserve">that provides a higher match percentage of the Direct Loan funds requested. </w:t>
      </w:r>
    </w:p>
    <w:p w14:paraId="041E62DD" w14:textId="77777777" w:rsidR="00950B5F" w:rsidRDefault="00950B5F" w:rsidP="00950B5F">
      <w:pPr>
        <w:tabs>
          <w:tab w:val="left" w:pos="450"/>
        </w:tabs>
        <w:ind w:left="720"/>
        <w:rPr>
          <w:rFonts w:ascii="Calibri" w:hAnsi="Calibri" w:cs="Times New Roman"/>
          <w:b/>
          <w:szCs w:val="24"/>
        </w:rPr>
      </w:pPr>
    </w:p>
    <w:p w14:paraId="1CC36D90" w14:textId="77777777" w:rsidR="00950B5F" w:rsidRDefault="00950B5F" w:rsidP="00950B5F">
      <w:pPr>
        <w:numPr>
          <w:ilvl w:val="0"/>
          <w:numId w:val="3"/>
        </w:numPr>
        <w:tabs>
          <w:tab w:val="left" w:pos="450"/>
        </w:tabs>
        <w:rPr>
          <w:rFonts w:ascii="Calibri" w:hAnsi="Calibri" w:cs="Times New Roman"/>
          <w:b/>
          <w:szCs w:val="24"/>
        </w:rPr>
      </w:pPr>
      <w:r>
        <w:rPr>
          <w:rFonts w:ascii="Calibri" w:hAnsi="Calibri" w:cs="Times New Roman"/>
          <w:b/>
          <w:szCs w:val="24"/>
        </w:rPr>
        <w:t xml:space="preserve">Loan Terms </w:t>
      </w:r>
    </w:p>
    <w:p w14:paraId="104EFD68" w14:textId="77777777" w:rsidR="002A7D43" w:rsidRDefault="002A7D43" w:rsidP="002A7D43">
      <w:pPr>
        <w:tabs>
          <w:tab w:val="left" w:pos="450"/>
        </w:tabs>
        <w:ind w:left="720"/>
        <w:rPr>
          <w:rFonts w:ascii="Calibri" w:hAnsi="Calibri" w:cs="Times New Roman"/>
          <w:b/>
          <w:szCs w:val="24"/>
        </w:rPr>
      </w:pPr>
    </w:p>
    <w:p w14:paraId="4A2F751C" w14:textId="77777777" w:rsidR="00220F4F" w:rsidRPr="00E64F08" w:rsidRDefault="004C468D" w:rsidP="00E64F08">
      <w:pPr>
        <w:numPr>
          <w:ilvl w:val="1"/>
          <w:numId w:val="3"/>
        </w:numPr>
        <w:tabs>
          <w:tab w:val="left" w:pos="450"/>
        </w:tabs>
        <w:ind w:left="2160"/>
        <w:rPr>
          <w:rFonts w:ascii="Calibri" w:hAnsi="Calibri" w:cs="Times New Roman"/>
          <w:b/>
          <w:szCs w:val="24"/>
        </w:rPr>
      </w:pPr>
      <w:r w:rsidRPr="00931A23">
        <w:rPr>
          <w:rFonts w:ascii="Calibri" w:hAnsi="Calibri" w:cs="Times New Roman"/>
          <w:b/>
          <w:szCs w:val="24"/>
        </w:rPr>
        <w:lastRenderedPageBreak/>
        <w:t xml:space="preserve">Product: Construction-to-Permanent </w:t>
      </w:r>
      <w:r w:rsidR="002A7D43" w:rsidRPr="00931A23">
        <w:rPr>
          <w:rFonts w:ascii="Calibri" w:hAnsi="Calibri" w:cs="Times New Roman"/>
          <w:b/>
          <w:szCs w:val="24"/>
        </w:rPr>
        <w:t xml:space="preserve">Loans. </w:t>
      </w:r>
      <w:r w:rsidR="002A7D43" w:rsidRPr="00931A23">
        <w:rPr>
          <w:rFonts w:ascii="Calibri" w:hAnsi="Calibri" w:cs="Times New Roman"/>
          <w:szCs w:val="24"/>
        </w:rPr>
        <w:t xml:space="preserve">All Direct Loan Applications </w:t>
      </w:r>
      <w:r w:rsidR="00D51EF2" w:rsidRPr="00931A23">
        <w:rPr>
          <w:rFonts w:ascii="Calibri" w:hAnsi="Calibri" w:cs="Times New Roman"/>
          <w:szCs w:val="24"/>
        </w:rPr>
        <w:t xml:space="preserve">will be </w:t>
      </w:r>
      <w:r w:rsidR="002A7D43" w:rsidRPr="00931A23">
        <w:rPr>
          <w:rFonts w:ascii="Calibri" w:hAnsi="Calibri" w:cs="Times New Roman"/>
          <w:szCs w:val="24"/>
        </w:rPr>
        <w:t xml:space="preserve">structured as </w:t>
      </w:r>
      <w:r w:rsidR="00D51EF2" w:rsidRPr="00931A23">
        <w:rPr>
          <w:rFonts w:ascii="Calibri" w:hAnsi="Calibri" w:cs="Times New Roman"/>
          <w:szCs w:val="24"/>
        </w:rPr>
        <w:t xml:space="preserve">construction-to-permanent loans. All products will </w:t>
      </w:r>
      <w:r w:rsidR="002A7D43" w:rsidRPr="00931A23">
        <w:rPr>
          <w:rFonts w:ascii="Calibri" w:hAnsi="Calibri" w:cs="Times New Roman"/>
          <w:szCs w:val="24"/>
        </w:rPr>
        <w:t xml:space="preserve">reflect the interest rate listed in the table below. </w:t>
      </w:r>
    </w:p>
    <w:p w14:paraId="07B7BE76" w14:textId="77777777" w:rsidR="002A7D43" w:rsidRPr="00931A23" w:rsidRDefault="002A7D43">
      <w:pPr>
        <w:tabs>
          <w:tab w:val="left" w:pos="450"/>
        </w:tabs>
        <w:ind w:left="2160"/>
        <w:rPr>
          <w:rFonts w:ascii="Calibri" w:hAnsi="Calibri" w:cs="Times New Roman"/>
          <w:b/>
          <w:szCs w:val="24"/>
        </w:rPr>
      </w:pPr>
    </w:p>
    <w:p w14:paraId="2F12602D" w14:textId="1243933A" w:rsidR="002A7D43" w:rsidRDefault="002A7D43" w:rsidP="003D2726">
      <w:pPr>
        <w:numPr>
          <w:ilvl w:val="0"/>
          <w:numId w:val="8"/>
        </w:numPr>
        <w:tabs>
          <w:tab w:val="left" w:pos="450"/>
        </w:tabs>
        <w:rPr>
          <w:rFonts w:ascii="Calibri" w:hAnsi="Calibri" w:cs="Times New Roman"/>
          <w:b/>
          <w:szCs w:val="24"/>
        </w:rPr>
      </w:pPr>
      <w:r>
        <w:rPr>
          <w:rFonts w:ascii="Calibri" w:hAnsi="Calibri" w:cs="Times New Roman"/>
          <w:b/>
          <w:szCs w:val="24"/>
        </w:rPr>
        <w:t>Interest Rates</w:t>
      </w:r>
    </w:p>
    <w:p w14:paraId="6F0077BC" w14:textId="77777777" w:rsidR="002A7D43" w:rsidRDefault="002A7D43" w:rsidP="002A7D43">
      <w:pPr>
        <w:tabs>
          <w:tab w:val="left" w:pos="450"/>
        </w:tabs>
        <w:ind w:left="1440"/>
        <w:rPr>
          <w:rFonts w:ascii="Calibri" w:hAnsi="Calibri" w:cs="Times New Roman"/>
          <w:b/>
          <w:szCs w:val="24"/>
        </w:rPr>
      </w:pPr>
    </w:p>
    <w:tbl>
      <w:tblPr>
        <w:tblW w:w="8279"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049"/>
      </w:tblGrid>
      <w:tr w:rsidR="002A7D43" w:rsidRPr="002A7D43" w14:paraId="1ADB3366" w14:textId="77777777" w:rsidTr="00E8380D">
        <w:trPr>
          <w:trHeight w:val="277"/>
        </w:trPr>
        <w:tc>
          <w:tcPr>
            <w:tcW w:w="4230" w:type="dxa"/>
            <w:shd w:val="clear" w:color="auto" w:fill="auto"/>
          </w:tcPr>
          <w:p w14:paraId="7FFE5BE2" w14:textId="77777777" w:rsidR="002A7D43" w:rsidRPr="002A7D43" w:rsidRDefault="002A7D43" w:rsidP="004A0897">
            <w:pPr>
              <w:jc w:val="center"/>
              <w:rPr>
                <w:rFonts w:ascii="Calibri" w:hAnsi="Calibri" w:cs="Times New Roman"/>
                <w:b/>
                <w:szCs w:val="24"/>
              </w:rPr>
            </w:pPr>
            <w:r w:rsidRPr="002A7D43">
              <w:rPr>
                <w:rFonts w:ascii="Calibri" w:hAnsi="Calibri" w:cs="Times New Roman"/>
                <w:b/>
                <w:szCs w:val="24"/>
              </w:rPr>
              <w:t>Set-Aside or Priority</w:t>
            </w:r>
          </w:p>
        </w:tc>
        <w:tc>
          <w:tcPr>
            <w:tcW w:w="4049" w:type="dxa"/>
          </w:tcPr>
          <w:p w14:paraId="5C17DF37" w14:textId="77777777" w:rsidR="002A7D43" w:rsidRPr="002A7D43" w:rsidRDefault="002A7D43" w:rsidP="004A0897">
            <w:pPr>
              <w:jc w:val="center"/>
              <w:rPr>
                <w:rFonts w:ascii="Calibri" w:hAnsi="Calibri" w:cs="Times New Roman"/>
                <w:b/>
                <w:szCs w:val="24"/>
              </w:rPr>
            </w:pPr>
            <w:r w:rsidRPr="002A7D43">
              <w:rPr>
                <w:rFonts w:ascii="Calibri" w:hAnsi="Calibri" w:cs="Times New Roman"/>
                <w:b/>
                <w:szCs w:val="24"/>
              </w:rPr>
              <w:t>Interest Rate</w:t>
            </w:r>
          </w:p>
        </w:tc>
      </w:tr>
      <w:tr w:rsidR="00FE1A09" w:rsidRPr="002A7D43" w14:paraId="4AB3796A" w14:textId="77777777" w:rsidTr="00E8380D">
        <w:trPr>
          <w:trHeight w:val="596"/>
        </w:trPr>
        <w:tc>
          <w:tcPr>
            <w:tcW w:w="4230" w:type="dxa"/>
            <w:shd w:val="clear" w:color="auto" w:fill="auto"/>
            <w:vAlign w:val="center"/>
          </w:tcPr>
          <w:p w14:paraId="2653A32D" w14:textId="77777777" w:rsidR="00FE1A09" w:rsidRPr="002A7D43" w:rsidRDefault="00FE1A09" w:rsidP="004A0897">
            <w:pPr>
              <w:jc w:val="center"/>
              <w:rPr>
                <w:rFonts w:ascii="Calibri" w:hAnsi="Calibri" w:cs="Times New Roman"/>
                <w:szCs w:val="24"/>
              </w:rPr>
            </w:pPr>
            <w:r>
              <w:rPr>
                <w:rFonts w:ascii="Calibri" w:hAnsi="Calibri" w:cs="Times New Roman"/>
                <w:szCs w:val="24"/>
              </w:rPr>
              <w:t xml:space="preserve">General </w:t>
            </w:r>
          </w:p>
        </w:tc>
        <w:tc>
          <w:tcPr>
            <w:tcW w:w="4049" w:type="dxa"/>
            <w:vAlign w:val="center"/>
          </w:tcPr>
          <w:p w14:paraId="71A7BABB" w14:textId="77777777" w:rsidR="00FE1A09" w:rsidRDefault="00403232" w:rsidP="004A0897">
            <w:pPr>
              <w:jc w:val="center"/>
              <w:rPr>
                <w:rFonts w:ascii="Calibri" w:hAnsi="Calibri" w:cs="Times New Roman"/>
                <w:szCs w:val="24"/>
              </w:rPr>
            </w:pPr>
            <w:r>
              <w:rPr>
                <w:rFonts w:ascii="Calibri" w:hAnsi="Calibri" w:cs="Times New Roman"/>
                <w:szCs w:val="24"/>
              </w:rPr>
              <w:t>2%</w:t>
            </w:r>
          </w:p>
        </w:tc>
      </w:tr>
    </w:tbl>
    <w:p w14:paraId="6245BD7C" w14:textId="77777777" w:rsidR="002A7D43" w:rsidRDefault="002A7D43" w:rsidP="002A7D43">
      <w:pPr>
        <w:tabs>
          <w:tab w:val="left" w:pos="450"/>
        </w:tabs>
        <w:rPr>
          <w:rFonts w:ascii="Calibri" w:hAnsi="Calibri" w:cs="Times New Roman"/>
          <w:b/>
          <w:szCs w:val="24"/>
        </w:rPr>
      </w:pPr>
    </w:p>
    <w:p w14:paraId="4804ED4B" w14:textId="7DDBA594" w:rsidR="00FD1BB6" w:rsidRPr="003D2726" w:rsidRDefault="002A7D43" w:rsidP="003D2726">
      <w:pPr>
        <w:pStyle w:val="ListParagraph"/>
        <w:numPr>
          <w:ilvl w:val="2"/>
          <w:numId w:val="3"/>
        </w:numPr>
        <w:tabs>
          <w:tab w:val="left" w:pos="450"/>
        </w:tabs>
        <w:rPr>
          <w:rFonts w:ascii="Calibri" w:hAnsi="Calibri" w:cs="Times New Roman"/>
          <w:b/>
          <w:szCs w:val="24"/>
        </w:rPr>
      </w:pPr>
      <w:r w:rsidRPr="003D2726">
        <w:rPr>
          <w:rFonts w:ascii="Calibri" w:hAnsi="Calibri" w:cs="Times New Roman"/>
          <w:b/>
          <w:szCs w:val="24"/>
        </w:rPr>
        <w:t xml:space="preserve">Loan Structure. </w:t>
      </w:r>
    </w:p>
    <w:p w14:paraId="2883200E" w14:textId="784A5EC6" w:rsidR="0026743A" w:rsidRPr="003D2726" w:rsidRDefault="00FD1BB6" w:rsidP="003D2726">
      <w:pPr>
        <w:pStyle w:val="ListParagraph"/>
        <w:numPr>
          <w:ilvl w:val="2"/>
          <w:numId w:val="5"/>
        </w:numPr>
        <w:tabs>
          <w:tab w:val="left" w:pos="450"/>
        </w:tabs>
        <w:rPr>
          <w:rFonts w:ascii="Calibri" w:hAnsi="Calibri" w:cs="Times New Roman"/>
          <w:b/>
          <w:szCs w:val="24"/>
        </w:rPr>
      </w:pPr>
      <w:r w:rsidRPr="003D2726">
        <w:rPr>
          <w:rFonts w:ascii="Calibri" w:hAnsi="Calibri" w:cs="Times New Roman"/>
          <w:szCs w:val="24"/>
        </w:rPr>
        <w:t>Except for Applicants proposing a Federal Housing Administration (FHA) loan, f</w:t>
      </w:r>
      <w:r w:rsidR="0026743A" w:rsidRPr="003D2726">
        <w:rPr>
          <w:rFonts w:ascii="Calibri" w:hAnsi="Calibri" w:cs="Times New Roman"/>
          <w:szCs w:val="24"/>
        </w:rPr>
        <w:t xml:space="preserve">unds </w:t>
      </w:r>
      <w:r w:rsidRPr="003D2726">
        <w:rPr>
          <w:rFonts w:ascii="Calibri" w:hAnsi="Calibri" w:cs="Times New Roman"/>
          <w:szCs w:val="24"/>
        </w:rPr>
        <w:t xml:space="preserve">must </w:t>
      </w:r>
      <w:r w:rsidR="0026743A" w:rsidRPr="003D2726">
        <w:rPr>
          <w:rFonts w:ascii="Calibri" w:hAnsi="Calibri" w:cs="Times New Roman"/>
          <w:szCs w:val="24"/>
        </w:rPr>
        <w:t xml:space="preserve">be requested as </w:t>
      </w:r>
      <w:r w:rsidR="0026743A" w:rsidRPr="003D2726">
        <w:rPr>
          <w:rFonts w:ascii="Calibri" w:hAnsi="Calibri" w:cs="Times New Roman"/>
          <w:b/>
          <w:szCs w:val="24"/>
        </w:rPr>
        <w:t>Fully A</w:t>
      </w:r>
      <w:r w:rsidR="002A7D43" w:rsidRPr="003D2726">
        <w:rPr>
          <w:rFonts w:ascii="Calibri" w:hAnsi="Calibri" w:cs="Times New Roman"/>
          <w:b/>
          <w:szCs w:val="24"/>
        </w:rPr>
        <w:t>mortizing</w:t>
      </w:r>
      <w:r w:rsidR="0026743A" w:rsidRPr="003D2726">
        <w:rPr>
          <w:rFonts w:ascii="Calibri" w:hAnsi="Calibri" w:cs="Times New Roman"/>
          <w:b/>
          <w:szCs w:val="24"/>
        </w:rPr>
        <w:t xml:space="preserve"> Loans</w:t>
      </w:r>
      <w:r w:rsidR="0026743A" w:rsidRPr="003D2726">
        <w:rPr>
          <w:rFonts w:ascii="Calibri" w:hAnsi="Calibri" w:cs="Times New Roman"/>
          <w:szCs w:val="24"/>
        </w:rPr>
        <w:t xml:space="preserve">. </w:t>
      </w:r>
      <w:r w:rsidR="00E118BC" w:rsidRPr="003D2726">
        <w:rPr>
          <w:rFonts w:ascii="Calibri" w:hAnsi="Calibri" w:cs="Times New Roman"/>
          <w:szCs w:val="24"/>
        </w:rPr>
        <w:t>L</w:t>
      </w:r>
      <w:r w:rsidR="004C468D" w:rsidRPr="003D2726">
        <w:rPr>
          <w:rFonts w:ascii="Calibri" w:hAnsi="Calibri" w:cs="Times New Roman"/>
          <w:szCs w:val="24"/>
        </w:rPr>
        <w:t>oans will be structured with regular principal and interest payments sufficient to fully repay the loan within the loan term.</w:t>
      </w:r>
    </w:p>
    <w:p w14:paraId="363F91F1" w14:textId="3564DB3E" w:rsidR="00E118BC" w:rsidRDefault="00E118BC" w:rsidP="003D2726">
      <w:pPr>
        <w:tabs>
          <w:tab w:val="left" w:pos="450"/>
        </w:tabs>
        <w:ind w:left="2160"/>
        <w:rPr>
          <w:rFonts w:ascii="Calibri" w:hAnsi="Calibri" w:cs="Times New Roman"/>
          <w:b/>
          <w:szCs w:val="24"/>
        </w:rPr>
      </w:pPr>
    </w:p>
    <w:p w14:paraId="5CCCBC68" w14:textId="6704C503" w:rsidR="00E118BC" w:rsidRPr="003D2726" w:rsidRDefault="00E118BC" w:rsidP="003D2726">
      <w:pPr>
        <w:pStyle w:val="ListParagraph"/>
        <w:numPr>
          <w:ilvl w:val="2"/>
          <w:numId w:val="5"/>
        </w:numPr>
        <w:tabs>
          <w:tab w:val="left" w:pos="450"/>
        </w:tabs>
        <w:rPr>
          <w:rFonts w:ascii="Calibri" w:hAnsi="Calibri" w:cs="Times New Roman"/>
          <w:szCs w:val="24"/>
        </w:rPr>
      </w:pPr>
      <w:r w:rsidRPr="003D2726">
        <w:rPr>
          <w:rFonts w:ascii="Calibri" w:hAnsi="Calibri" w:cs="Times New Roman"/>
          <w:szCs w:val="24"/>
        </w:rPr>
        <w:t xml:space="preserve">For Applicants proposing an </w:t>
      </w:r>
      <w:r w:rsidR="00FD1BB6" w:rsidRPr="003D2726">
        <w:rPr>
          <w:rFonts w:ascii="Calibri" w:hAnsi="Calibri" w:cs="Times New Roman"/>
          <w:szCs w:val="24"/>
        </w:rPr>
        <w:t>FHA</w:t>
      </w:r>
      <w:r w:rsidRPr="003D2726">
        <w:rPr>
          <w:rFonts w:ascii="Calibri" w:hAnsi="Calibri" w:cs="Times New Roman"/>
          <w:szCs w:val="24"/>
        </w:rPr>
        <w:t xml:space="preserve">-insured senior loan subject to the MAP Guide, loan payments will be calculated using 75% of Surplus Cash, as defined by FHA. Any portion of the loan not repaid will be due </w:t>
      </w:r>
      <w:r w:rsidR="00FD1BB6" w:rsidRPr="003D2726">
        <w:rPr>
          <w:rFonts w:ascii="Calibri" w:hAnsi="Calibri" w:cs="Times New Roman"/>
          <w:szCs w:val="24"/>
        </w:rPr>
        <w:t>the earlier of the end of the Loan</w:t>
      </w:r>
      <w:r w:rsidR="0003077E" w:rsidRPr="003D2726">
        <w:rPr>
          <w:rFonts w:ascii="Calibri" w:hAnsi="Calibri" w:cs="Times New Roman"/>
          <w:szCs w:val="24"/>
        </w:rPr>
        <w:t xml:space="preserve"> Term</w:t>
      </w:r>
      <w:r w:rsidR="00FD1BB6" w:rsidRPr="003D2726">
        <w:rPr>
          <w:rFonts w:ascii="Calibri" w:hAnsi="Calibri" w:cs="Times New Roman"/>
          <w:szCs w:val="24"/>
        </w:rPr>
        <w:t xml:space="preserve"> or upon sale, refinance, or transfer of the Property.</w:t>
      </w:r>
    </w:p>
    <w:p w14:paraId="1D63940B" w14:textId="0391FD17" w:rsidR="008F2BB5" w:rsidRDefault="008F2BB5" w:rsidP="00304094">
      <w:pPr>
        <w:tabs>
          <w:tab w:val="left" w:pos="450"/>
        </w:tabs>
        <w:rPr>
          <w:rFonts w:ascii="Calibri" w:hAnsi="Calibri" w:cs="Times New Roman"/>
          <w:b/>
          <w:szCs w:val="24"/>
        </w:rPr>
      </w:pPr>
    </w:p>
    <w:p w14:paraId="1033268B" w14:textId="77777777" w:rsidR="008F2BB5" w:rsidRDefault="008F2BB5" w:rsidP="00950B5F">
      <w:pPr>
        <w:numPr>
          <w:ilvl w:val="0"/>
          <w:numId w:val="3"/>
        </w:numPr>
        <w:tabs>
          <w:tab w:val="left" w:pos="450"/>
        </w:tabs>
        <w:rPr>
          <w:rFonts w:ascii="Calibri" w:hAnsi="Calibri" w:cs="Times New Roman"/>
          <w:b/>
          <w:szCs w:val="24"/>
        </w:rPr>
      </w:pPr>
      <w:r>
        <w:rPr>
          <w:rFonts w:ascii="Calibri" w:hAnsi="Calibri" w:cs="Times New Roman"/>
          <w:b/>
          <w:szCs w:val="24"/>
        </w:rPr>
        <w:t xml:space="preserve">Maximum </w:t>
      </w:r>
      <w:r w:rsidR="004959D0">
        <w:rPr>
          <w:rFonts w:ascii="Calibri" w:hAnsi="Calibri" w:cs="Times New Roman"/>
          <w:b/>
          <w:szCs w:val="24"/>
        </w:rPr>
        <w:t>Per-Unit</w:t>
      </w:r>
      <w:r>
        <w:rPr>
          <w:rFonts w:ascii="Calibri" w:hAnsi="Calibri" w:cs="Times New Roman"/>
          <w:b/>
          <w:szCs w:val="24"/>
        </w:rPr>
        <w:t xml:space="preserve"> Subsidy Limits and Maximum Rehabilitation Per-Unit Subsidy Limits. </w:t>
      </w:r>
    </w:p>
    <w:p w14:paraId="155A4CFC" w14:textId="77777777" w:rsidR="004959D0" w:rsidRPr="00390FB4" w:rsidRDefault="004959D0" w:rsidP="004959D0">
      <w:pPr>
        <w:tabs>
          <w:tab w:val="left" w:pos="450"/>
        </w:tabs>
        <w:ind w:left="720"/>
        <w:rPr>
          <w:rFonts w:ascii="Calibri" w:hAnsi="Calibri" w:cs="Times New Roman"/>
          <w:szCs w:val="24"/>
        </w:rPr>
      </w:pPr>
    </w:p>
    <w:p w14:paraId="444812A6" w14:textId="77777777" w:rsidR="00390FB4" w:rsidRDefault="00390FB4" w:rsidP="004959D0">
      <w:pPr>
        <w:tabs>
          <w:tab w:val="left" w:pos="450"/>
        </w:tabs>
        <w:ind w:left="720"/>
        <w:rPr>
          <w:rFonts w:ascii="Calibri" w:hAnsi="Calibri" w:cs="Times New Roman"/>
          <w:szCs w:val="24"/>
        </w:rPr>
      </w:pPr>
      <w:r w:rsidRPr="00390FB4">
        <w:rPr>
          <w:rFonts w:ascii="Calibri" w:hAnsi="Calibri" w:cs="Times New Roman"/>
          <w:szCs w:val="24"/>
        </w:rPr>
        <w:t>The maximum per unit subsidy limits that an Applicant can use to determine the amount of Direct Loan funds they may request are</w:t>
      </w:r>
      <w:r w:rsidR="00437D12">
        <w:rPr>
          <w:rFonts w:ascii="Calibri" w:hAnsi="Calibri" w:cs="Times New Roman"/>
          <w:szCs w:val="24"/>
        </w:rPr>
        <w:t xml:space="preserve"> listed in the </w:t>
      </w:r>
      <w:r w:rsidR="00591BF4">
        <w:rPr>
          <w:rFonts w:ascii="Calibri" w:hAnsi="Calibri" w:cs="Times New Roman"/>
          <w:szCs w:val="24"/>
        </w:rPr>
        <w:t>2023</w:t>
      </w:r>
      <w:r w:rsidR="00437D12">
        <w:rPr>
          <w:rFonts w:ascii="Calibri" w:hAnsi="Calibri" w:cs="Times New Roman"/>
          <w:szCs w:val="24"/>
        </w:rPr>
        <w:t xml:space="preserve"> Maximum Per-</w:t>
      </w:r>
      <w:r w:rsidRPr="00390FB4">
        <w:rPr>
          <w:rFonts w:ascii="Calibri" w:hAnsi="Calibri" w:cs="Times New Roman"/>
          <w:szCs w:val="24"/>
        </w:rPr>
        <w:t>Unit Subsidy Limits table provided in this Section 5:</w:t>
      </w:r>
    </w:p>
    <w:p w14:paraId="1C003F80" w14:textId="41D3C28A" w:rsidR="00B22819" w:rsidRDefault="00B22819" w:rsidP="004959D0">
      <w:pPr>
        <w:tabs>
          <w:tab w:val="left" w:pos="450"/>
        </w:tabs>
        <w:ind w:left="720"/>
        <w:rPr>
          <w:rFonts w:ascii="Calibri" w:hAnsi="Calibri" w:cs="Times New Roman"/>
          <w:szCs w:val="24"/>
        </w:rPr>
      </w:pPr>
    </w:p>
    <w:tbl>
      <w:tblPr>
        <w:tblW w:w="8278" w:type="dxa"/>
        <w:tblInd w:w="1074" w:type="dxa"/>
        <w:tblLayout w:type="fixed"/>
        <w:tblLook w:val="0000" w:firstRow="0" w:lastRow="0" w:firstColumn="0" w:lastColumn="0" w:noHBand="0" w:noVBand="0"/>
      </w:tblPr>
      <w:tblGrid>
        <w:gridCol w:w="2268"/>
        <w:gridCol w:w="2870"/>
        <w:gridCol w:w="3140"/>
      </w:tblGrid>
      <w:tr w:rsidR="00054F70" w:rsidRPr="00437D12" w14:paraId="03E7743B" w14:textId="77777777" w:rsidTr="004372B1">
        <w:trPr>
          <w:trHeight w:val="277"/>
        </w:trPr>
        <w:tc>
          <w:tcPr>
            <w:tcW w:w="8278" w:type="dxa"/>
            <w:gridSpan w:val="3"/>
            <w:tcBorders>
              <w:top w:val="single" w:sz="4" w:space="0" w:color="000000"/>
              <w:left w:val="single" w:sz="4" w:space="0" w:color="000000"/>
              <w:bottom w:val="single" w:sz="4" w:space="0" w:color="000000"/>
              <w:right w:val="single" w:sz="4" w:space="0" w:color="000000"/>
            </w:tcBorders>
            <w:shd w:val="clear" w:color="auto" w:fill="auto"/>
          </w:tcPr>
          <w:p w14:paraId="35FB4734" w14:textId="77777777" w:rsidR="00054F70" w:rsidRPr="00437D12" w:rsidRDefault="00054F70" w:rsidP="004372B1">
            <w:pPr>
              <w:jc w:val="center"/>
              <w:rPr>
                <w:rFonts w:ascii="Calibri" w:hAnsi="Calibri" w:cs="Times New Roman"/>
                <w:b/>
                <w:szCs w:val="24"/>
              </w:rPr>
            </w:pPr>
            <w:r w:rsidRPr="00437D12">
              <w:rPr>
                <w:rFonts w:ascii="Calibri" w:hAnsi="Calibri" w:cs="Times New Roman"/>
                <w:b/>
                <w:szCs w:val="24"/>
              </w:rPr>
              <w:t>202</w:t>
            </w:r>
            <w:r>
              <w:rPr>
                <w:rFonts w:ascii="Calibri" w:hAnsi="Calibri" w:cs="Times New Roman"/>
                <w:b/>
                <w:szCs w:val="24"/>
              </w:rPr>
              <w:t>3</w:t>
            </w:r>
            <w:r w:rsidRPr="00437D12">
              <w:rPr>
                <w:rFonts w:ascii="Calibri" w:hAnsi="Calibri" w:cs="Times New Roman"/>
                <w:b/>
                <w:szCs w:val="24"/>
              </w:rPr>
              <w:t xml:space="preserve"> Maximum Per Unit Subsidy Limits</w:t>
            </w:r>
            <w:r w:rsidRPr="00437D12">
              <w:rPr>
                <w:rFonts w:ascii="Calibri" w:hAnsi="Calibri" w:cs="Times New Roman"/>
                <w:b/>
                <w:szCs w:val="24"/>
                <w:vertAlign w:val="superscript"/>
              </w:rPr>
              <w:footnoteReference w:id="3"/>
            </w:r>
          </w:p>
        </w:tc>
      </w:tr>
      <w:tr w:rsidR="00054F70" w:rsidRPr="00437D12" w14:paraId="58CD3D81" w14:textId="77777777" w:rsidTr="004372B1">
        <w:trPr>
          <w:trHeight w:val="277"/>
        </w:trPr>
        <w:tc>
          <w:tcPr>
            <w:tcW w:w="2268" w:type="dxa"/>
            <w:tcBorders>
              <w:top w:val="single" w:sz="4" w:space="0" w:color="000000"/>
              <w:left w:val="single" w:sz="4" w:space="0" w:color="000000"/>
              <w:bottom w:val="single" w:sz="4" w:space="0" w:color="000000"/>
            </w:tcBorders>
            <w:shd w:val="clear" w:color="auto" w:fill="auto"/>
          </w:tcPr>
          <w:p w14:paraId="6162A2D8" w14:textId="77777777" w:rsidR="00054F70" w:rsidRPr="00437D12" w:rsidRDefault="00054F70" w:rsidP="004372B1">
            <w:pPr>
              <w:rPr>
                <w:rFonts w:ascii="Calibri" w:hAnsi="Calibri" w:cs="Times New Roman"/>
                <w:b/>
                <w:szCs w:val="24"/>
              </w:rPr>
            </w:pPr>
            <w:r w:rsidRPr="00437D12">
              <w:rPr>
                <w:rFonts w:ascii="Calibri" w:hAnsi="Calibri" w:cs="Times New Roman"/>
                <w:b/>
                <w:szCs w:val="24"/>
              </w:rPr>
              <w:t>Bedrooms</w:t>
            </w:r>
          </w:p>
        </w:tc>
        <w:tc>
          <w:tcPr>
            <w:tcW w:w="2870" w:type="dxa"/>
            <w:tcBorders>
              <w:top w:val="single" w:sz="4" w:space="0" w:color="000000"/>
              <w:left w:val="single" w:sz="4" w:space="0" w:color="000000"/>
              <w:bottom w:val="single" w:sz="4" w:space="0" w:color="000000"/>
            </w:tcBorders>
            <w:shd w:val="clear" w:color="auto" w:fill="auto"/>
          </w:tcPr>
          <w:p w14:paraId="200E2724" w14:textId="77777777" w:rsidR="00054F70" w:rsidRPr="00437D12" w:rsidRDefault="00054F70" w:rsidP="004372B1">
            <w:pPr>
              <w:rPr>
                <w:rFonts w:ascii="Calibri" w:hAnsi="Calibri" w:cs="Times New Roman"/>
                <w:b/>
                <w:szCs w:val="24"/>
              </w:rPr>
            </w:pPr>
            <w:r w:rsidRPr="00437D12">
              <w:rPr>
                <w:rFonts w:ascii="Calibri" w:hAnsi="Calibri" w:cs="Times New Roman"/>
                <w:b/>
                <w:szCs w:val="24"/>
              </w:rPr>
              <w:t>Non-elevator property</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5A004E6B" w14:textId="77777777" w:rsidR="00054F70" w:rsidRPr="00437D12" w:rsidRDefault="00054F70" w:rsidP="004372B1">
            <w:pPr>
              <w:rPr>
                <w:rFonts w:ascii="Calibri" w:hAnsi="Calibri"/>
                <w:szCs w:val="24"/>
              </w:rPr>
            </w:pPr>
            <w:r w:rsidRPr="00437D12">
              <w:rPr>
                <w:rFonts w:ascii="Calibri" w:hAnsi="Calibri" w:cs="Times New Roman"/>
                <w:b/>
                <w:szCs w:val="24"/>
              </w:rPr>
              <w:t>Elevator-served property</w:t>
            </w:r>
          </w:p>
        </w:tc>
      </w:tr>
      <w:tr w:rsidR="00054F70" w:rsidRPr="00437D12" w14:paraId="5BA6ACE6" w14:textId="77777777" w:rsidTr="004372B1">
        <w:trPr>
          <w:trHeight w:val="277"/>
        </w:trPr>
        <w:tc>
          <w:tcPr>
            <w:tcW w:w="2268" w:type="dxa"/>
            <w:tcBorders>
              <w:top w:val="single" w:sz="4" w:space="0" w:color="000000"/>
              <w:left w:val="single" w:sz="4" w:space="0" w:color="000000"/>
              <w:bottom w:val="single" w:sz="4" w:space="0" w:color="000000"/>
            </w:tcBorders>
            <w:shd w:val="clear" w:color="auto" w:fill="auto"/>
          </w:tcPr>
          <w:p w14:paraId="54BD6783" w14:textId="77777777" w:rsidR="00054F70" w:rsidRPr="00437D12" w:rsidRDefault="00054F70" w:rsidP="004372B1">
            <w:pPr>
              <w:rPr>
                <w:rFonts w:ascii="Calibri" w:hAnsi="Calibri" w:cs="Times New Roman"/>
                <w:szCs w:val="24"/>
              </w:rPr>
            </w:pPr>
            <w:r w:rsidRPr="00437D12">
              <w:rPr>
                <w:rFonts w:ascii="Calibri" w:hAnsi="Calibri" w:cs="Times New Roman"/>
                <w:szCs w:val="24"/>
              </w:rPr>
              <w:t>0 bedroom</w:t>
            </w:r>
          </w:p>
        </w:tc>
        <w:tc>
          <w:tcPr>
            <w:tcW w:w="2870" w:type="dxa"/>
            <w:tcBorders>
              <w:top w:val="single" w:sz="4" w:space="0" w:color="000000"/>
              <w:left w:val="single" w:sz="4" w:space="0" w:color="000000"/>
              <w:bottom w:val="single" w:sz="4" w:space="0" w:color="000000"/>
            </w:tcBorders>
            <w:shd w:val="clear" w:color="auto" w:fill="auto"/>
          </w:tcPr>
          <w:p w14:paraId="0138EAC7" w14:textId="1FB96B37" w:rsidR="00054F70" w:rsidRPr="00437D12" w:rsidRDefault="00054F70" w:rsidP="004372B1">
            <w:pPr>
              <w:rPr>
                <w:rFonts w:ascii="Calibri" w:hAnsi="Calibri" w:cs="Times New Roman"/>
                <w:szCs w:val="24"/>
              </w:rPr>
            </w:pPr>
            <w:r w:rsidRPr="00054F70">
              <w:rPr>
                <w:rFonts w:ascii="Calibri" w:hAnsi="Calibri" w:cs="Times New Roman"/>
                <w:szCs w:val="24"/>
              </w:rPr>
              <w:t>$170,777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7F939421" w14:textId="0F809DCF" w:rsidR="00054F70" w:rsidRPr="00437D12" w:rsidRDefault="00054F70" w:rsidP="004372B1">
            <w:pPr>
              <w:rPr>
                <w:rFonts w:ascii="Calibri" w:hAnsi="Calibri"/>
                <w:szCs w:val="24"/>
              </w:rPr>
            </w:pPr>
            <w:r w:rsidRPr="00054F70">
              <w:rPr>
                <w:rFonts w:ascii="Calibri" w:hAnsi="Calibri"/>
                <w:szCs w:val="24"/>
              </w:rPr>
              <w:t>$179,722</w:t>
            </w:r>
          </w:p>
        </w:tc>
      </w:tr>
      <w:tr w:rsidR="00054F70" w:rsidRPr="00437D12" w14:paraId="46A90160" w14:textId="77777777" w:rsidTr="004372B1">
        <w:trPr>
          <w:trHeight w:val="277"/>
        </w:trPr>
        <w:tc>
          <w:tcPr>
            <w:tcW w:w="2268" w:type="dxa"/>
            <w:tcBorders>
              <w:top w:val="single" w:sz="4" w:space="0" w:color="000000"/>
              <w:left w:val="single" w:sz="4" w:space="0" w:color="000000"/>
              <w:bottom w:val="single" w:sz="4" w:space="0" w:color="000000"/>
            </w:tcBorders>
            <w:shd w:val="clear" w:color="auto" w:fill="auto"/>
          </w:tcPr>
          <w:p w14:paraId="2443E320" w14:textId="77777777" w:rsidR="00054F70" w:rsidRPr="00437D12" w:rsidRDefault="00054F70" w:rsidP="004372B1">
            <w:pPr>
              <w:rPr>
                <w:rFonts w:ascii="Calibri" w:hAnsi="Calibri" w:cs="Times New Roman"/>
                <w:szCs w:val="24"/>
              </w:rPr>
            </w:pPr>
            <w:r w:rsidRPr="00437D12">
              <w:rPr>
                <w:rFonts w:ascii="Calibri" w:hAnsi="Calibri" w:cs="Times New Roman"/>
                <w:szCs w:val="24"/>
              </w:rPr>
              <w:t>1 bedroom</w:t>
            </w:r>
          </w:p>
        </w:tc>
        <w:tc>
          <w:tcPr>
            <w:tcW w:w="2870" w:type="dxa"/>
            <w:tcBorders>
              <w:top w:val="single" w:sz="4" w:space="0" w:color="000000"/>
              <w:left w:val="single" w:sz="4" w:space="0" w:color="000000"/>
              <w:bottom w:val="single" w:sz="4" w:space="0" w:color="000000"/>
            </w:tcBorders>
            <w:shd w:val="clear" w:color="auto" w:fill="auto"/>
          </w:tcPr>
          <w:p w14:paraId="5B6D07DB" w14:textId="46BE1791" w:rsidR="00054F70" w:rsidRPr="00437D12" w:rsidRDefault="00054F70" w:rsidP="004372B1">
            <w:pPr>
              <w:rPr>
                <w:rFonts w:ascii="Calibri" w:hAnsi="Calibri" w:cs="Times New Roman"/>
                <w:szCs w:val="24"/>
              </w:rPr>
            </w:pPr>
            <w:r w:rsidRPr="00054F70">
              <w:rPr>
                <w:rFonts w:ascii="Calibri" w:hAnsi="Calibri" w:cs="Times New Roman"/>
                <w:szCs w:val="24"/>
              </w:rPr>
              <w:t>$196,911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00D35679" w14:textId="2D2403FC" w:rsidR="00054F70" w:rsidRPr="00437D12" w:rsidRDefault="00054F70" w:rsidP="004372B1">
            <w:pPr>
              <w:rPr>
                <w:rFonts w:ascii="Calibri" w:hAnsi="Calibri"/>
                <w:szCs w:val="24"/>
              </w:rPr>
            </w:pPr>
            <w:r w:rsidRPr="00054F70">
              <w:rPr>
                <w:rFonts w:ascii="Calibri" w:hAnsi="Calibri"/>
                <w:szCs w:val="24"/>
              </w:rPr>
              <w:t>$206,023</w:t>
            </w:r>
          </w:p>
        </w:tc>
      </w:tr>
      <w:tr w:rsidR="00054F70" w:rsidRPr="00437D12" w14:paraId="0F395EAA" w14:textId="77777777" w:rsidTr="004372B1">
        <w:trPr>
          <w:trHeight w:val="277"/>
        </w:trPr>
        <w:tc>
          <w:tcPr>
            <w:tcW w:w="2268" w:type="dxa"/>
            <w:tcBorders>
              <w:top w:val="single" w:sz="4" w:space="0" w:color="000000"/>
              <w:left w:val="single" w:sz="4" w:space="0" w:color="000000"/>
              <w:bottom w:val="single" w:sz="4" w:space="0" w:color="000000"/>
            </w:tcBorders>
            <w:shd w:val="clear" w:color="auto" w:fill="auto"/>
          </w:tcPr>
          <w:p w14:paraId="5CA69A2A" w14:textId="77777777" w:rsidR="00054F70" w:rsidRPr="00437D12" w:rsidRDefault="00054F70" w:rsidP="004372B1">
            <w:pPr>
              <w:rPr>
                <w:rFonts w:ascii="Calibri" w:hAnsi="Calibri" w:cs="Times New Roman"/>
                <w:szCs w:val="24"/>
              </w:rPr>
            </w:pPr>
            <w:r w:rsidRPr="00437D12">
              <w:rPr>
                <w:rFonts w:ascii="Calibri" w:hAnsi="Calibri" w:cs="Times New Roman"/>
                <w:szCs w:val="24"/>
              </w:rPr>
              <w:t>2 bedroom</w:t>
            </w:r>
          </w:p>
        </w:tc>
        <w:tc>
          <w:tcPr>
            <w:tcW w:w="2870" w:type="dxa"/>
            <w:tcBorders>
              <w:top w:val="single" w:sz="4" w:space="0" w:color="000000"/>
              <w:left w:val="single" w:sz="4" w:space="0" w:color="000000"/>
              <w:bottom w:val="single" w:sz="4" w:space="0" w:color="000000"/>
            </w:tcBorders>
            <w:shd w:val="clear" w:color="auto" w:fill="auto"/>
          </w:tcPr>
          <w:p w14:paraId="7E751DD6" w14:textId="6FCE860B" w:rsidR="00054F70" w:rsidRPr="00437D12" w:rsidRDefault="00054F70" w:rsidP="004372B1">
            <w:pPr>
              <w:rPr>
                <w:rFonts w:ascii="Calibri" w:hAnsi="Calibri" w:cs="Times New Roman"/>
                <w:szCs w:val="24"/>
              </w:rPr>
            </w:pPr>
            <w:r w:rsidRPr="00054F70">
              <w:rPr>
                <w:rFonts w:ascii="Calibri" w:hAnsi="Calibri" w:cs="Times New Roman"/>
                <w:szCs w:val="24"/>
              </w:rPr>
              <w:t>$237,481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6E06A01D" w14:textId="3E5A81AE" w:rsidR="00054F70" w:rsidRPr="00437D12" w:rsidRDefault="00054F70" w:rsidP="004372B1">
            <w:pPr>
              <w:rPr>
                <w:rFonts w:ascii="Calibri" w:hAnsi="Calibri" w:cs="Times New Roman"/>
                <w:szCs w:val="24"/>
              </w:rPr>
            </w:pPr>
            <w:r w:rsidRPr="00054F70">
              <w:rPr>
                <w:rFonts w:ascii="Calibri" w:hAnsi="Calibri" w:cs="Times New Roman"/>
                <w:szCs w:val="24"/>
              </w:rPr>
              <w:t>$250,530</w:t>
            </w:r>
          </w:p>
        </w:tc>
      </w:tr>
      <w:tr w:rsidR="00054F70" w:rsidRPr="00437D12" w14:paraId="5C9B77CA" w14:textId="77777777" w:rsidTr="004372B1">
        <w:trPr>
          <w:trHeight w:val="292"/>
        </w:trPr>
        <w:tc>
          <w:tcPr>
            <w:tcW w:w="2268" w:type="dxa"/>
            <w:tcBorders>
              <w:top w:val="single" w:sz="4" w:space="0" w:color="000000"/>
              <w:left w:val="single" w:sz="4" w:space="0" w:color="000000"/>
              <w:bottom w:val="single" w:sz="4" w:space="0" w:color="000000"/>
            </w:tcBorders>
            <w:shd w:val="clear" w:color="auto" w:fill="auto"/>
          </w:tcPr>
          <w:p w14:paraId="26F1696A" w14:textId="77777777" w:rsidR="00054F70" w:rsidRPr="00437D12" w:rsidRDefault="00054F70" w:rsidP="004372B1">
            <w:pPr>
              <w:rPr>
                <w:rFonts w:ascii="Calibri" w:hAnsi="Calibri" w:cs="Times New Roman"/>
                <w:szCs w:val="24"/>
              </w:rPr>
            </w:pPr>
            <w:r w:rsidRPr="00437D12">
              <w:rPr>
                <w:rFonts w:ascii="Calibri" w:hAnsi="Calibri" w:cs="Times New Roman"/>
                <w:szCs w:val="24"/>
              </w:rPr>
              <w:t>3 bedroom</w:t>
            </w:r>
          </w:p>
        </w:tc>
        <w:tc>
          <w:tcPr>
            <w:tcW w:w="2870" w:type="dxa"/>
            <w:tcBorders>
              <w:top w:val="single" w:sz="4" w:space="0" w:color="000000"/>
              <w:left w:val="single" w:sz="4" w:space="0" w:color="000000"/>
              <w:bottom w:val="single" w:sz="4" w:space="0" w:color="000000"/>
            </w:tcBorders>
            <w:shd w:val="clear" w:color="auto" w:fill="auto"/>
          </w:tcPr>
          <w:p w14:paraId="1665D031" w14:textId="65DE9307" w:rsidR="00054F70" w:rsidRPr="00437D12" w:rsidRDefault="00054F70" w:rsidP="004372B1">
            <w:pPr>
              <w:rPr>
                <w:rFonts w:ascii="Calibri" w:hAnsi="Calibri" w:cs="Times New Roman"/>
                <w:szCs w:val="24"/>
              </w:rPr>
            </w:pPr>
            <w:r w:rsidRPr="00054F70">
              <w:rPr>
                <w:rFonts w:ascii="Calibri" w:hAnsi="Calibri" w:cs="Times New Roman"/>
                <w:szCs w:val="24"/>
              </w:rPr>
              <w:t>$303,987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5AF0A29E" w14:textId="5F8303BB" w:rsidR="00054F70" w:rsidRPr="00437D12" w:rsidRDefault="00054F70" w:rsidP="004372B1">
            <w:pPr>
              <w:rPr>
                <w:rFonts w:ascii="Calibri" w:hAnsi="Calibri"/>
                <w:szCs w:val="24"/>
              </w:rPr>
            </w:pPr>
            <w:r w:rsidRPr="00054F70">
              <w:rPr>
                <w:rFonts w:ascii="Calibri" w:hAnsi="Calibri"/>
                <w:szCs w:val="24"/>
              </w:rPr>
              <w:t>$324,105</w:t>
            </w:r>
          </w:p>
        </w:tc>
      </w:tr>
      <w:tr w:rsidR="00054F70" w:rsidRPr="00437D12" w14:paraId="088B7692" w14:textId="77777777" w:rsidTr="004372B1">
        <w:trPr>
          <w:trHeight w:val="277"/>
        </w:trPr>
        <w:tc>
          <w:tcPr>
            <w:tcW w:w="2268" w:type="dxa"/>
            <w:tcBorders>
              <w:top w:val="single" w:sz="4" w:space="0" w:color="000000"/>
              <w:left w:val="single" w:sz="4" w:space="0" w:color="000000"/>
              <w:bottom w:val="single" w:sz="4" w:space="0" w:color="000000"/>
            </w:tcBorders>
            <w:shd w:val="clear" w:color="auto" w:fill="auto"/>
          </w:tcPr>
          <w:p w14:paraId="534F6BE7" w14:textId="77777777" w:rsidR="00054F70" w:rsidRPr="00437D12" w:rsidRDefault="00054F70" w:rsidP="004372B1">
            <w:pPr>
              <w:rPr>
                <w:rFonts w:ascii="Calibri" w:hAnsi="Calibri" w:cs="Times New Roman"/>
                <w:szCs w:val="24"/>
              </w:rPr>
            </w:pPr>
            <w:r w:rsidRPr="00437D12">
              <w:rPr>
                <w:rFonts w:ascii="Calibri" w:hAnsi="Calibri" w:cs="Times New Roman"/>
                <w:szCs w:val="24"/>
              </w:rPr>
              <w:t>4 bedroom or more</w:t>
            </w:r>
          </w:p>
        </w:tc>
        <w:tc>
          <w:tcPr>
            <w:tcW w:w="2870" w:type="dxa"/>
            <w:tcBorders>
              <w:top w:val="single" w:sz="4" w:space="0" w:color="000000"/>
              <w:left w:val="single" w:sz="4" w:space="0" w:color="000000"/>
              <w:bottom w:val="single" w:sz="4" w:space="0" w:color="000000"/>
            </w:tcBorders>
            <w:shd w:val="clear" w:color="auto" w:fill="auto"/>
          </w:tcPr>
          <w:p w14:paraId="28EB6FDC" w14:textId="5074D603" w:rsidR="00054F70" w:rsidRPr="00437D12" w:rsidRDefault="00054F70" w:rsidP="004372B1">
            <w:pPr>
              <w:rPr>
                <w:rFonts w:ascii="Calibri" w:hAnsi="Calibri" w:cs="Times New Roman"/>
                <w:szCs w:val="24"/>
              </w:rPr>
            </w:pPr>
            <w:r w:rsidRPr="00054F70">
              <w:rPr>
                <w:rFonts w:ascii="Calibri" w:hAnsi="Calibri" w:cs="Times New Roman"/>
                <w:szCs w:val="24"/>
              </w:rPr>
              <w:t>$338,652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6B2F16D2" w14:textId="0FED4B2A" w:rsidR="00054F70" w:rsidRPr="00437D12" w:rsidRDefault="00054F70" w:rsidP="004372B1">
            <w:pPr>
              <w:rPr>
                <w:rFonts w:ascii="Calibri" w:hAnsi="Calibri"/>
                <w:szCs w:val="24"/>
              </w:rPr>
            </w:pPr>
            <w:r w:rsidRPr="00054F70">
              <w:rPr>
                <w:rFonts w:ascii="Calibri" w:hAnsi="Calibri"/>
                <w:szCs w:val="24"/>
              </w:rPr>
              <w:t>$355,765</w:t>
            </w:r>
          </w:p>
        </w:tc>
      </w:tr>
    </w:tbl>
    <w:p w14:paraId="73DB0FD5" w14:textId="77777777" w:rsidR="00054F70" w:rsidRDefault="00054F70" w:rsidP="004959D0">
      <w:pPr>
        <w:tabs>
          <w:tab w:val="left" w:pos="450"/>
        </w:tabs>
        <w:ind w:left="720"/>
        <w:rPr>
          <w:rFonts w:ascii="Calibri" w:hAnsi="Calibri" w:cs="Times New Roman"/>
          <w:szCs w:val="24"/>
        </w:rPr>
      </w:pPr>
    </w:p>
    <w:p w14:paraId="5090D921" w14:textId="77777777" w:rsidR="00390FB4" w:rsidRDefault="00390FB4" w:rsidP="004959D0">
      <w:pPr>
        <w:tabs>
          <w:tab w:val="left" w:pos="450"/>
        </w:tabs>
        <w:ind w:left="720"/>
        <w:rPr>
          <w:rFonts w:ascii="Calibri" w:hAnsi="Calibri" w:cs="Times New Roman"/>
          <w:szCs w:val="24"/>
        </w:rPr>
      </w:pPr>
    </w:p>
    <w:tbl>
      <w:tblPr>
        <w:tblW w:w="8278" w:type="dxa"/>
        <w:tblInd w:w="1074" w:type="dxa"/>
        <w:tblLayout w:type="fixed"/>
        <w:tblLook w:val="0000" w:firstRow="0" w:lastRow="0" w:firstColumn="0" w:lastColumn="0" w:noHBand="0" w:noVBand="0"/>
      </w:tblPr>
      <w:tblGrid>
        <w:gridCol w:w="2268"/>
        <w:gridCol w:w="2870"/>
        <w:gridCol w:w="3140"/>
      </w:tblGrid>
      <w:tr w:rsidR="00437D12" w:rsidRPr="00437D12" w14:paraId="316F0BC1" w14:textId="77777777" w:rsidTr="004A0897">
        <w:trPr>
          <w:trHeight w:val="277"/>
        </w:trPr>
        <w:tc>
          <w:tcPr>
            <w:tcW w:w="8278" w:type="dxa"/>
            <w:gridSpan w:val="3"/>
            <w:tcBorders>
              <w:top w:val="single" w:sz="4" w:space="0" w:color="000000"/>
              <w:left w:val="single" w:sz="4" w:space="0" w:color="000000"/>
              <w:bottom w:val="single" w:sz="4" w:space="0" w:color="000000"/>
              <w:right w:val="single" w:sz="4" w:space="0" w:color="000000"/>
            </w:tcBorders>
            <w:shd w:val="clear" w:color="auto" w:fill="auto"/>
          </w:tcPr>
          <w:p w14:paraId="5FE6B9B4" w14:textId="69178B5B" w:rsidR="00437D12" w:rsidRPr="00437D12" w:rsidRDefault="00437D12" w:rsidP="00437D12">
            <w:pPr>
              <w:jc w:val="center"/>
              <w:rPr>
                <w:rFonts w:ascii="Calibri" w:hAnsi="Calibri" w:cs="Times New Roman"/>
                <w:b/>
                <w:szCs w:val="24"/>
              </w:rPr>
            </w:pPr>
            <w:r w:rsidRPr="00437D12">
              <w:rPr>
                <w:rFonts w:ascii="Calibri" w:hAnsi="Calibri" w:cs="Times New Roman"/>
                <w:b/>
                <w:szCs w:val="24"/>
              </w:rPr>
              <w:t>202</w:t>
            </w:r>
            <w:r>
              <w:rPr>
                <w:rFonts w:ascii="Calibri" w:hAnsi="Calibri" w:cs="Times New Roman"/>
                <w:b/>
                <w:szCs w:val="24"/>
              </w:rPr>
              <w:t>3</w:t>
            </w:r>
            <w:r w:rsidRPr="00437D12">
              <w:rPr>
                <w:rFonts w:ascii="Calibri" w:hAnsi="Calibri" w:cs="Times New Roman"/>
                <w:b/>
                <w:szCs w:val="24"/>
              </w:rPr>
              <w:t xml:space="preserve"> Maximum Per Unit </w:t>
            </w:r>
            <w:r w:rsidR="00054F70">
              <w:rPr>
                <w:rFonts w:ascii="Calibri" w:hAnsi="Calibri" w:cs="Times New Roman"/>
                <w:b/>
                <w:szCs w:val="24"/>
              </w:rPr>
              <w:t xml:space="preserve">Rehabilitation </w:t>
            </w:r>
            <w:r w:rsidRPr="00437D12">
              <w:rPr>
                <w:rFonts w:ascii="Calibri" w:hAnsi="Calibri" w:cs="Times New Roman"/>
                <w:b/>
                <w:szCs w:val="24"/>
              </w:rPr>
              <w:t>Subsidy Limits</w:t>
            </w:r>
            <w:r w:rsidRPr="00437D12">
              <w:rPr>
                <w:rFonts w:ascii="Calibri" w:hAnsi="Calibri" w:cs="Times New Roman"/>
                <w:b/>
                <w:szCs w:val="24"/>
                <w:vertAlign w:val="superscript"/>
              </w:rPr>
              <w:footnoteReference w:id="4"/>
            </w:r>
          </w:p>
        </w:tc>
      </w:tr>
      <w:tr w:rsidR="00437D12" w:rsidRPr="00437D12" w14:paraId="0CB14E36" w14:textId="77777777" w:rsidTr="004A0897">
        <w:trPr>
          <w:trHeight w:val="277"/>
        </w:trPr>
        <w:tc>
          <w:tcPr>
            <w:tcW w:w="2268" w:type="dxa"/>
            <w:tcBorders>
              <w:top w:val="single" w:sz="4" w:space="0" w:color="000000"/>
              <w:left w:val="single" w:sz="4" w:space="0" w:color="000000"/>
              <w:bottom w:val="single" w:sz="4" w:space="0" w:color="000000"/>
            </w:tcBorders>
            <w:shd w:val="clear" w:color="auto" w:fill="auto"/>
          </w:tcPr>
          <w:p w14:paraId="0C22AB08" w14:textId="77777777" w:rsidR="00437D12" w:rsidRPr="00437D12" w:rsidRDefault="00437D12" w:rsidP="00437D12">
            <w:pPr>
              <w:rPr>
                <w:rFonts w:ascii="Calibri" w:hAnsi="Calibri" w:cs="Times New Roman"/>
                <w:b/>
                <w:szCs w:val="24"/>
              </w:rPr>
            </w:pPr>
            <w:r w:rsidRPr="00437D12">
              <w:rPr>
                <w:rFonts w:ascii="Calibri" w:hAnsi="Calibri" w:cs="Times New Roman"/>
                <w:b/>
                <w:szCs w:val="24"/>
              </w:rPr>
              <w:lastRenderedPageBreak/>
              <w:t>Bedrooms</w:t>
            </w:r>
          </w:p>
        </w:tc>
        <w:tc>
          <w:tcPr>
            <w:tcW w:w="2870" w:type="dxa"/>
            <w:tcBorders>
              <w:top w:val="single" w:sz="4" w:space="0" w:color="000000"/>
              <w:left w:val="single" w:sz="4" w:space="0" w:color="000000"/>
              <w:bottom w:val="single" w:sz="4" w:space="0" w:color="000000"/>
            </w:tcBorders>
            <w:shd w:val="clear" w:color="auto" w:fill="auto"/>
          </w:tcPr>
          <w:p w14:paraId="29080310" w14:textId="77777777" w:rsidR="00437D12" w:rsidRPr="00437D12" w:rsidRDefault="00437D12" w:rsidP="00437D12">
            <w:pPr>
              <w:rPr>
                <w:rFonts w:ascii="Calibri" w:hAnsi="Calibri" w:cs="Times New Roman"/>
                <w:b/>
                <w:szCs w:val="24"/>
              </w:rPr>
            </w:pPr>
            <w:r w:rsidRPr="00437D12">
              <w:rPr>
                <w:rFonts w:ascii="Calibri" w:hAnsi="Calibri" w:cs="Times New Roman"/>
                <w:b/>
                <w:szCs w:val="24"/>
              </w:rPr>
              <w:t>Non-elevator property</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336A3649" w14:textId="77777777" w:rsidR="00437D12" w:rsidRPr="00437D12" w:rsidRDefault="00437D12" w:rsidP="00437D12">
            <w:pPr>
              <w:rPr>
                <w:rFonts w:ascii="Calibri" w:hAnsi="Calibri"/>
                <w:szCs w:val="24"/>
              </w:rPr>
            </w:pPr>
            <w:r w:rsidRPr="00437D12">
              <w:rPr>
                <w:rFonts w:ascii="Calibri" w:hAnsi="Calibri" w:cs="Times New Roman"/>
                <w:b/>
                <w:szCs w:val="24"/>
              </w:rPr>
              <w:t>Elevator-served property</w:t>
            </w:r>
          </w:p>
        </w:tc>
      </w:tr>
      <w:tr w:rsidR="00931A23" w:rsidRPr="00437D12" w14:paraId="2E61EA07" w14:textId="77777777" w:rsidTr="004A0897">
        <w:trPr>
          <w:trHeight w:val="277"/>
        </w:trPr>
        <w:tc>
          <w:tcPr>
            <w:tcW w:w="2268" w:type="dxa"/>
            <w:tcBorders>
              <w:top w:val="single" w:sz="4" w:space="0" w:color="000000"/>
              <w:left w:val="single" w:sz="4" w:space="0" w:color="000000"/>
              <w:bottom w:val="single" w:sz="4" w:space="0" w:color="000000"/>
            </w:tcBorders>
            <w:shd w:val="clear" w:color="auto" w:fill="auto"/>
          </w:tcPr>
          <w:p w14:paraId="0912303B" w14:textId="77777777" w:rsidR="00931A23" w:rsidRPr="00437D12" w:rsidRDefault="00931A23" w:rsidP="00931A23">
            <w:pPr>
              <w:rPr>
                <w:rFonts w:ascii="Calibri" w:hAnsi="Calibri" w:cs="Times New Roman"/>
                <w:szCs w:val="24"/>
              </w:rPr>
            </w:pPr>
            <w:r w:rsidRPr="00437D12">
              <w:rPr>
                <w:rFonts w:ascii="Calibri" w:hAnsi="Calibri" w:cs="Times New Roman"/>
                <w:szCs w:val="24"/>
              </w:rPr>
              <w:t>0 bedroom</w:t>
            </w:r>
          </w:p>
        </w:tc>
        <w:tc>
          <w:tcPr>
            <w:tcW w:w="2870" w:type="dxa"/>
            <w:tcBorders>
              <w:top w:val="single" w:sz="4" w:space="0" w:color="000000"/>
              <w:left w:val="single" w:sz="4" w:space="0" w:color="000000"/>
              <w:bottom w:val="single" w:sz="4" w:space="0" w:color="000000"/>
            </w:tcBorders>
            <w:shd w:val="clear" w:color="auto" w:fill="auto"/>
          </w:tcPr>
          <w:p w14:paraId="19D10D45" w14:textId="0E930BAB" w:rsidR="00931A23" w:rsidRPr="00437D12" w:rsidRDefault="00931A23" w:rsidP="00931A23">
            <w:pPr>
              <w:rPr>
                <w:rFonts w:ascii="Calibri" w:hAnsi="Calibri" w:cs="Times New Roman"/>
                <w:szCs w:val="24"/>
              </w:rPr>
            </w:pPr>
            <w:r w:rsidRPr="00E64F08">
              <w:rPr>
                <w:rFonts w:ascii="Calibri" w:hAnsi="Calibri" w:cs="Times New Roman"/>
                <w:szCs w:val="24"/>
              </w:rPr>
              <w:t>$56,922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03F6CEA3" w14:textId="3A335140" w:rsidR="00931A23" w:rsidRPr="00931A23" w:rsidRDefault="00931A23" w:rsidP="00931A23">
            <w:pPr>
              <w:rPr>
                <w:rFonts w:ascii="Calibri" w:hAnsi="Calibri" w:cs="Times New Roman"/>
                <w:szCs w:val="24"/>
              </w:rPr>
            </w:pPr>
            <w:r w:rsidRPr="00E64F08">
              <w:rPr>
                <w:rFonts w:ascii="Calibri" w:hAnsi="Calibri" w:cs="Times New Roman"/>
                <w:szCs w:val="24"/>
              </w:rPr>
              <w:t>$61,488</w:t>
            </w:r>
          </w:p>
        </w:tc>
      </w:tr>
      <w:tr w:rsidR="00931A23" w:rsidRPr="00437D12" w14:paraId="4F01BED7" w14:textId="77777777" w:rsidTr="004A0897">
        <w:trPr>
          <w:trHeight w:val="277"/>
        </w:trPr>
        <w:tc>
          <w:tcPr>
            <w:tcW w:w="2268" w:type="dxa"/>
            <w:tcBorders>
              <w:top w:val="single" w:sz="4" w:space="0" w:color="000000"/>
              <w:left w:val="single" w:sz="4" w:space="0" w:color="000000"/>
              <w:bottom w:val="single" w:sz="4" w:space="0" w:color="000000"/>
            </w:tcBorders>
            <w:shd w:val="clear" w:color="auto" w:fill="auto"/>
          </w:tcPr>
          <w:p w14:paraId="7D5BEBD3" w14:textId="77777777" w:rsidR="00931A23" w:rsidRPr="00437D12" w:rsidRDefault="00931A23" w:rsidP="00931A23">
            <w:pPr>
              <w:rPr>
                <w:rFonts w:ascii="Calibri" w:hAnsi="Calibri" w:cs="Times New Roman"/>
                <w:szCs w:val="24"/>
              </w:rPr>
            </w:pPr>
            <w:r w:rsidRPr="00437D12">
              <w:rPr>
                <w:rFonts w:ascii="Calibri" w:hAnsi="Calibri" w:cs="Times New Roman"/>
                <w:szCs w:val="24"/>
              </w:rPr>
              <w:t>1 bedroom</w:t>
            </w:r>
          </w:p>
        </w:tc>
        <w:tc>
          <w:tcPr>
            <w:tcW w:w="2870" w:type="dxa"/>
            <w:tcBorders>
              <w:top w:val="single" w:sz="4" w:space="0" w:color="000000"/>
              <w:left w:val="single" w:sz="4" w:space="0" w:color="000000"/>
              <w:bottom w:val="single" w:sz="4" w:space="0" w:color="000000"/>
            </w:tcBorders>
            <w:shd w:val="clear" w:color="auto" w:fill="auto"/>
          </w:tcPr>
          <w:p w14:paraId="4A730353" w14:textId="5DC0CB95" w:rsidR="00931A23" w:rsidRPr="00437D12"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64,617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395362CA" w14:textId="484EE9F8" w:rsidR="00931A23" w:rsidRPr="00931A23"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70,490</w:t>
            </w:r>
          </w:p>
        </w:tc>
      </w:tr>
      <w:tr w:rsidR="00931A23" w:rsidRPr="00437D12" w14:paraId="5F018DE8" w14:textId="77777777" w:rsidTr="004A0897">
        <w:trPr>
          <w:trHeight w:val="277"/>
        </w:trPr>
        <w:tc>
          <w:tcPr>
            <w:tcW w:w="2268" w:type="dxa"/>
            <w:tcBorders>
              <w:top w:val="single" w:sz="4" w:space="0" w:color="000000"/>
              <w:left w:val="single" w:sz="4" w:space="0" w:color="000000"/>
              <w:bottom w:val="single" w:sz="4" w:space="0" w:color="000000"/>
            </w:tcBorders>
            <w:shd w:val="clear" w:color="auto" w:fill="auto"/>
          </w:tcPr>
          <w:p w14:paraId="110327AF" w14:textId="77777777" w:rsidR="00931A23" w:rsidRPr="00437D12" w:rsidRDefault="00931A23" w:rsidP="00931A23">
            <w:pPr>
              <w:rPr>
                <w:rFonts w:ascii="Calibri" w:hAnsi="Calibri" w:cs="Times New Roman"/>
                <w:szCs w:val="24"/>
              </w:rPr>
            </w:pPr>
            <w:r w:rsidRPr="00437D12">
              <w:rPr>
                <w:rFonts w:ascii="Calibri" w:hAnsi="Calibri" w:cs="Times New Roman"/>
                <w:szCs w:val="24"/>
              </w:rPr>
              <w:t>2 bedroom</w:t>
            </w:r>
          </w:p>
        </w:tc>
        <w:tc>
          <w:tcPr>
            <w:tcW w:w="2870" w:type="dxa"/>
            <w:tcBorders>
              <w:top w:val="single" w:sz="4" w:space="0" w:color="000000"/>
              <w:left w:val="single" w:sz="4" w:space="0" w:color="000000"/>
              <w:bottom w:val="single" w:sz="4" w:space="0" w:color="000000"/>
            </w:tcBorders>
            <w:shd w:val="clear" w:color="auto" w:fill="auto"/>
          </w:tcPr>
          <w:p w14:paraId="4116156D" w14:textId="1672BCF1" w:rsidR="00931A23" w:rsidRPr="00437D12"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78,107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0740E0ED" w14:textId="4AC727F7" w:rsidR="00931A23" w:rsidRPr="00437D12"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85,717</w:t>
            </w:r>
          </w:p>
        </w:tc>
      </w:tr>
      <w:tr w:rsidR="00931A23" w:rsidRPr="00437D12" w14:paraId="0170AC30" w14:textId="77777777" w:rsidTr="004A0897">
        <w:trPr>
          <w:trHeight w:val="292"/>
        </w:trPr>
        <w:tc>
          <w:tcPr>
            <w:tcW w:w="2268" w:type="dxa"/>
            <w:tcBorders>
              <w:top w:val="single" w:sz="4" w:space="0" w:color="000000"/>
              <w:left w:val="single" w:sz="4" w:space="0" w:color="000000"/>
              <w:bottom w:val="single" w:sz="4" w:space="0" w:color="000000"/>
            </w:tcBorders>
            <w:shd w:val="clear" w:color="auto" w:fill="auto"/>
          </w:tcPr>
          <w:p w14:paraId="59ADE4C2" w14:textId="77777777" w:rsidR="00931A23" w:rsidRPr="00437D12" w:rsidRDefault="00931A23" w:rsidP="00931A23">
            <w:pPr>
              <w:rPr>
                <w:rFonts w:ascii="Calibri" w:hAnsi="Calibri" w:cs="Times New Roman"/>
                <w:szCs w:val="24"/>
              </w:rPr>
            </w:pPr>
            <w:r w:rsidRPr="00437D12">
              <w:rPr>
                <w:rFonts w:ascii="Calibri" w:hAnsi="Calibri" w:cs="Times New Roman"/>
                <w:szCs w:val="24"/>
              </w:rPr>
              <w:t>3 bedroom</w:t>
            </w:r>
          </w:p>
        </w:tc>
        <w:tc>
          <w:tcPr>
            <w:tcW w:w="2870" w:type="dxa"/>
            <w:tcBorders>
              <w:top w:val="single" w:sz="4" w:space="0" w:color="000000"/>
              <w:left w:val="single" w:sz="4" w:space="0" w:color="000000"/>
              <w:bottom w:val="single" w:sz="4" w:space="0" w:color="000000"/>
            </w:tcBorders>
            <w:shd w:val="clear" w:color="auto" w:fill="auto"/>
          </w:tcPr>
          <w:p w14:paraId="7F2DBA65" w14:textId="55551455" w:rsidR="00931A23" w:rsidRPr="00437D12"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98,036</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18549F51" w14:textId="3BF9E668" w:rsidR="00931A23" w:rsidRPr="00931A23"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110,887</w:t>
            </w:r>
          </w:p>
        </w:tc>
      </w:tr>
      <w:tr w:rsidR="00931A23" w:rsidRPr="00437D12" w14:paraId="4692F789" w14:textId="77777777" w:rsidTr="004A0897">
        <w:trPr>
          <w:trHeight w:val="277"/>
        </w:trPr>
        <w:tc>
          <w:tcPr>
            <w:tcW w:w="2268" w:type="dxa"/>
            <w:tcBorders>
              <w:top w:val="single" w:sz="4" w:space="0" w:color="000000"/>
              <w:left w:val="single" w:sz="4" w:space="0" w:color="000000"/>
              <w:bottom w:val="single" w:sz="4" w:space="0" w:color="000000"/>
            </w:tcBorders>
            <w:shd w:val="clear" w:color="auto" w:fill="auto"/>
          </w:tcPr>
          <w:p w14:paraId="5A8A6508" w14:textId="77777777" w:rsidR="00931A23" w:rsidRPr="00437D12" w:rsidRDefault="00931A23" w:rsidP="00931A23">
            <w:pPr>
              <w:rPr>
                <w:rFonts w:ascii="Calibri" w:hAnsi="Calibri" w:cs="Times New Roman"/>
                <w:szCs w:val="24"/>
              </w:rPr>
            </w:pPr>
            <w:r w:rsidRPr="00437D12">
              <w:rPr>
                <w:rFonts w:ascii="Calibri" w:hAnsi="Calibri" w:cs="Times New Roman"/>
                <w:szCs w:val="24"/>
              </w:rPr>
              <w:t>4 bedroom or more</w:t>
            </w:r>
          </w:p>
        </w:tc>
        <w:tc>
          <w:tcPr>
            <w:tcW w:w="2870" w:type="dxa"/>
            <w:tcBorders>
              <w:top w:val="single" w:sz="4" w:space="0" w:color="000000"/>
              <w:left w:val="single" w:sz="4" w:space="0" w:color="000000"/>
              <w:bottom w:val="single" w:sz="4" w:space="0" w:color="000000"/>
            </w:tcBorders>
            <w:shd w:val="clear" w:color="auto" w:fill="auto"/>
          </w:tcPr>
          <w:p w14:paraId="0A52DB92" w14:textId="7D090256" w:rsidR="00931A23" w:rsidRPr="00437D12"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110,779</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27BE320D" w14:textId="5DABA649" w:rsidR="00931A23" w:rsidRPr="00931A23" w:rsidRDefault="00931A23" w:rsidP="00931A23">
            <w:pPr>
              <w:rPr>
                <w:rFonts w:ascii="Calibri" w:hAnsi="Calibri" w:cs="Times New Roman"/>
                <w:szCs w:val="24"/>
              </w:rPr>
            </w:pPr>
            <w:r>
              <w:rPr>
                <w:rFonts w:ascii="Calibri" w:hAnsi="Calibri" w:cs="Times New Roman"/>
                <w:szCs w:val="24"/>
              </w:rPr>
              <w:t>$</w:t>
            </w:r>
            <w:r w:rsidRPr="00E64F08">
              <w:rPr>
                <w:rFonts w:ascii="Calibri" w:hAnsi="Calibri" w:cs="Times New Roman"/>
                <w:szCs w:val="24"/>
              </w:rPr>
              <w:t>121,723</w:t>
            </w:r>
          </w:p>
        </w:tc>
      </w:tr>
    </w:tbl>
    <w:p w14:paraId="0F2F224E" w14:textId="77777777" w:rsidR="00390FB4" w:rsidRDefault="00390FB4" w:rsidP="004959D0">
      <w:pPr>
        <w:tabs>
          <w:tab w:val="left" w:pos="450"/>
        </w:tabs>
        <w:ind w:left="720"/>
        <w:rPr>
          <w:rFonts w:ascii="Calibri" w:hAnsi="Calibri" w:cs="Times New Roman"/>
          <w:szCs w:val="24"/>
        </w:rPr>
      </w:pPr>
    </w:p>
    <w:p w14:paraId="1E43D484" w14:textId="6CD6A2C5" w:rsidR="00390FB4" w:rsidRPr="00390FB4" w:rsidRDefault="00390FB4" w:rsidP="004959D0">
      <w:pPr>
        <w:tabs>
          <w:tab w:val="left" w:pos="450"/>
        </w:tabs>
        <w:ind w:left="720"/>
        <w:rPr>
          <w:rFonts w:ascii="Calibri" w:hAnsi="Calibri" w:cs="Times New Roman"/>
          <w:szCs w:val="24"/>
        </w:rPr>
      </w:pPr>
      <w:r w:rsidRPr="00390FB4">
        <w:rPr>
          <w:rFonts w:ascii="Calibri" w:hAnsi="Calibri" w:cs="Times New Roman"/>
          <w:szCs w:val="24"/>
        </w:rPr>
        <w:t>Once the Applicant commits a number of Direct-Loan Units in the Application, the number may be raised or lowered only in the Department’s sole discretion and provided that it would not have impacted the award of an application, to account for a change in Development costs or to account for other federal funding.</w:t>
      </w:r>
    </w:p>
    <w:p w14:paraId="2B3C9F0D" w14:textId="77777777" w:rsidR="00390FB4" w:rsidRDefault="00390FB4" w:rsidP="004959D0">
      <w:pPr>
        <w:tabs>
          <w:tab w:val="left" w:pos="450"/>
        </w:tabs>
        <w:ind w:left="720"/>
        <w:rPr>
          <w:rFonts w:ascii="Calibri" w:hAnsi="Calibri" w:cs="Times New Roman"/>
          <w:b/>
          <w:szCs w:val="24"/>
        </w:rPr>
      </w:pPr>
    </w:p>
    <w:p w14:paraId="4FAE7A0E" w14:textId="77777777" w:rsidR="00526E6A" w:rsidRDefault="00526E6A" w:rsidP="00950B5F">
      <w:pPr>
        <w:numPr>
          <w:ilvl w:val="0"/>
          <w:numId w:val="3"/>
        </w:numPr>
        <w:tabs>
          <w:tab w:val="left" w:pos="450"/>
        </w:tabs>
        <w:rPr>
          <w:rFonts w:ascii="Calibri" w:hAnsi="Calibri" w:cs="Times New Roman"/>
          <w:b/>
          <w:szCs w:val="24"/>
        </w:rPr>
      </w:pPr>
      <w:r>
        <w:rPr>
          <w:rFonts w:ascii="Calibri" w:hAnsi="Calibri" w:cs="Times New Roman"/>
          <w:b/>
          <w:szCs w:val="24"/>
        </w:rPr>
        <w:t xml:space="preserve">Accommodations for Unique Circumstances </w:t>
      </w:r>
    </w:p>
    <w:p w14:paraId="738D5E19" w14:textId="77777777" w:rsidR="00F83E4D" w:rsidRDefault="00F83E4D" w:rsidP="00F83E4D">
      <w:pPr>
        <w:tabs>
          <w:tab w:val="left" w:pos="450"/>
        </w:tabs>
        <w:rPr>
          <w:rFonts w:ascii="Calibri" w:hAnsi="Calibri" w:cs="Times New Roman"/>
          <w:b/>
          <w:szCs w:val="24"/>
        </w:rPr>
      </w:pPr>
    </w:p>
    <w:p w14:paraId="115FDE52" w14:textId="77777777" w:rsidR="00F83E4D" w:rsidRPr="00F83E4D" w:rsidRDefault="00F83E4D" w:rsidP="00F83E4D">
      <w:pPr>
        <w:ind w:left="720"/>
        <w:rPr>
          <w:rFonts w:ascii="Calibri" w:hAnsi="Calibri" w:cs="Times New Roman"/>
          <w:szCs w:val="24"/>
          <w:lang w:eastAsia="en-US"/>
        </w:rPr>
      </w:pPr>
      <w:r>
        <w:rPr>
          <w:rFonts w:ascii="Calibri" w:hAnsi="Calibri" w:cs="Times New Roman"/>
          <w:szCs w:val="24"/>
          <w:lang w:eastAsia="en-US"/>
        </w:rPr>
        <w:t>If</w:t>
      </w:r>
      <w:r w:rsidRPr="00F83E4D">
        <w:rPr>
          <w:rFonts w:ascii="Calibri" w:hAnsi="Calibri" w:cs="Times New Roman"/>
          <w:szCs w:val="24"/>
          <w:lang w:eastAsia="en-US"/>
        </w:rPr>
        <w:t xml:space="preserve"> the Department deems an Application to be better suited for another fund source in this NOFA or other Department multifamily NOFA, the Department will provide the Applicant a fourteen calendar day period (which may be extended another fourteen days for information required from third parties) to provide the supplemental information needed to evaluate the Application under that fund source without impact to the Application Acceptance Date.</w:t>
      </w:r>
      <w:r w:rsidRPr="00F83E4D">
        <w:rPr>
          <w:rFonts w:ascii="Calibri" w:hAnsi="Calibri" w:cs="Times New Roman"/>
          <w:szCs w:val="24"/>
          <w:vertAlign w:val="superscript"/>
          <w:lang w:eastAsia="en-US"/>
        </w:rPr>
        <w:footnoteReference w:id="5"/>
      </w:r>
    </w:p>
    <w:p w14:paraId="25E09F5F" w14:textId="77777777" w:rsidR="004959D0" w:rsidRDefault="004959D0" w:rsidP="00F83E4D">
      <w:pPr>
        <w:tabs>
          <w:tab w:val="left" w:pos="450"/>
        </w:tabs>
        <w:rPr>
          <w:rFonts w:ascii="Calibri" w:hAnsi="Calibri" w:cs="Times New Roman"/>
          <w:b/>
          <w:szCs w:val="24"/>
        </w:rPr>
      </w:pPr>
    </w:p>
    <w:p w14:paraId="354EC01A" w14:textId="77777777" w:rsidR="004959D0" w:rsidRDefault="004959D0" w:rsidP="00250F17">
      <w:pPr>
        <w:numPr>
          <w:ilvl w:val="0"/>
          <w:numId w:val="3"/>
        </w:numPr>
        <w:tabs>
          <w:tab w:val="left" w:pos="450"/>
        </w:tabs>
        <w:spacing w:after="240"/>
        <w:rPr>
          <w:rFonts w:ascii="Calibri" w:hAnsi="Calibri" w:cs="Times New Roman"/>
          <w:b/>
          <w:szCs w:val="24"/>
        </w:rPr>
      </w:pPr>
      <w:r>
        <w:rPr>
          <w:rFonts w:ascii="Calibri" w:hAnsi="Calibri" w:cs="Times New Roman"/>
          <w:b/>
          <w:szCs w:val="24"/>
        </w:rPr>
        <w:t xml:space="preserve">Application Submission Requirements </w:t>
      </w:r>
    </w:p>
    <w:p w14:paraId="292C6EF4" w14:textId="08B3AE3F" w:rsidR="00D178C7" w:rsidRDefault="00250F17" w:rsidP="00250F17">
      <w:pPr>
        <w:numPr>
          <w:ilvl w:val="1"/>
          <w:numId w:val="3"/>
        </w:numPr>
        <w:tabs>
          <w:tab w:val="left" w:pos="450"/>
        </w:tabs>
        <w:spacing w:after="240"/>
        <w:rPr>
          <w:rFonts w:ascii="Calibri" w:hAnsi="Calibri" w:cs="Times New Roman"/>
          <w:szCs w:val="24"/>
        </w:rPr>
      </w:pPr>
      <w:r w:rsidRPr="00250F17">
        <w:rPr>
          <w:rFonts w:ascii="Calibri" w:hAnsi="Calibri" w:cs="Times New Roman"/>
          <w:b/>
          <w:szCs w:val="24"/>
        </w:rPr>
        <w:t xml:space="preserve">Application Acceptance Period. Applications under this NOFA will be accepted </w:t>
      </w:r>
      <w:r w:rsidRPr="007C01AF">
        <w:rPr>
          <w:rFonts w:ascii="Calibri" w:hAnsi="Calibri" w:cs="Times New Roman"/>
          <w:b/>
          <w:szCs w:val="24"/>
        </w:rPr>
        <w:t xml:space="preserve">starting at 8:00 a.m. Austin local time on </w:t>
      </w:r>
      <w:r w:rsidR="00B3670B">
        <w:rPr>
          <w:rFonts w:ascii="Calibri" w:hAnsi="Calibri" w:cs="Times New Roman"/>
          <w:b/>
          <w:szCs w:val="24"/>
        </w:rPr>
        <w:t>January 8</w:t>
      </w:r>
      <w:r w:rsidRPr="00E64F08">
        <w:rPr>
          <w:rFonts w:ascii="Calibri" w:hAnsi="Calibri" w:cs="Times New Roman"/>
          <w:b/>
          <w:szCs w:val="24"/>
        </w:rPr>
        <w:t>, 202</w:t>
      </w:r>
      <w:r w:rsidR="00B3670B">
        <w:rPr>
          <w:rFonts w:ascii="Calibri" w:hAnsi="Calibri" w:cs="Times New Roman"/>
          <w:b/>
          <w:szCs w:val="24"/>
        </w:rPr>
        <w:t>4,</w:t>
      </w:r>
      <w:r w:rsidRPr="007C01AF">
        <w:rPr>
          <w:rFonts w:ascii="Calibri" w:hAnsi="Calibri" w:cs="Times New Roman"/>
          <w:b/>
          <w:szCs w:val="24"/>
        </w:rPr>
        <w:t xml:space="preserve"> through </w:t>
      </w:r>
      <w:r w:rsidRPr="00E64F08">
        <w:rPr>
          <w:rFonts w:ascii="Calibri" w:hAnsi="Calibri" w:cs="Times New Roman"/>
          <w:b/>
          <w:szCs w:val="24"/>
        </w:rPr>
        <w:t xml:space="preserve">October </w:t>
      </w:r>
      <w:r w:rsidR="00812373" w:rsidRPr="00E64F08">
        <w:rPr>
          <w:rFonts w:ascii="Calibri" w:hAnsi="Calibri" w:cs="Times New Roman"/>
          <w:b/>
          <w:szCs w:val="24"/>
        </w:rPr>
        <w:t>31</w:t>
      </w:r>
      <w:r w:rsidR="00B3670B">
        <w:rPr>
          <w:rFonts w:ascii="Calibri" w:hAnsi="Calibri" w:cs="Times New Roman"/>
          <w:b/>
          <w:szCs w:val="24"/>
        </w:rPr>
        <w:t>, 2024</w:t>
      </w:r>
      <w:r w:rsidRPr="007C01AF">
        <w:rPr>
          <w:rFonts w:ascii="Calibri" w:hAnsi="Calibri" w:cs="Times New Roman"/>
          <w:b/>
          <w:szCs w:val="24"/>
        </w:rPr>
        <w:t xml:space="preserve"> at</w:t>
      </w:r>
      <w:r w:rsidRPr="00250F17">
        <w:rPr>
          <w:rFonts w:ascii="Calibri" w:hAnsi="Calibri" w:cs="Times New Roman"/>
          <w:b/>
          <w:szCs w:val="24"/>
        </w:rPr>
        <w:t xml:space="preserve"> 5:00 p.m. Austin local time (if sufficient funds remain). </w:t>
      </w:r>
      <w:r w:rsidRPr="00250F17">
        <w:rPr>
          <w:rFonts w:ascii="Calibri" w:hAnsi="Calibri" w:cs="Times New Roman"/>
          <w:szCs w:val="24"/>
        </w:rPr>
        <w:t>An Applicant may have only one active Application per Development at a time under this or any other Department NOFA, and may only have that Development apply under one Set-Aside at a time.</w:t>
      </w:r>
    </w:p>
    <w:p w14:paraId="28A94163" w14:textId="77777777" w:rsidR="00250F17" w:rsidRDefault="00250F17" w:rsidP="00250F17">
      <w:pPr>
        <w:numPr>
          <w:ilvl w:val="1"/>
          <w:numId w:val="3"/>
        </w:numPr>
        <w:tabs>
          <w:tab w:val="left" w:pos="450"/>
        </w:tabs>
        <w:spacing w:after="240"/>
        <w:rPr>
          <w:rFonts w:ascii="Calibri" w:hAnsi="Calibri" w:cs="Times New Roman"/>
          <w:szCs w:val="24"/>
        </w:rPr>
      </w:pPr>
      <w:r w:rsidRPr="00250F17">
        <w:rPr>
          <w:rFonts w:ascii="Calibri" w:hAnsi="Calibri" w:cs="Times New Roman"/>
          <w:b/>
          <w:szCs w:val="24"/>
        </w:rPr>
        <w:t>Application Submission Materials.</w:t>
      </w:r>
      <w:r w:rsidRPr="00250F17">
        <w:rPr>
          <w:rFonts w:ascii="Calibri" w:hAnsi="Calibri" w:cs="Times New Roman"/>
          <w:szCs w:val="24"/>
        </w:rPr>
        <w:t xml:space="preserve"> All Application materials including manuals, NOFAs, program guidelines, and rules will be available on the Department’s website at </w:t>
      </w:r>
      <w:hyperlink r:id="rId18" w:history="1">
        <w:r w:rsidRPr="006E59FB">
          <w:rPr>
            <w:rStyle w:val="Hyperlink"/>
            <w:rFonts w:ascii="Calibri" w:hAnsi="Calibri" w:cs="Times New Roman"/>
            <w:szCs w:val="24"/>
          </w:rPr>
          <w:t>www.tdhca.state.tx.us</w:t>
        </w:r>
      </w:hyperlink>
      <w:r w:rsidRPr="00250F17">
        <w:rPr>
          <w:rFonts w:ascii="Calibri" w:hAnsi="Calibri" w:cs="Times New Roman"/>
          <w:szCs w:val="24"/>
        </w:rPr>
        <w:t>. Applications will be required to adhere to the requirements in effect at the time of the Application submission including any requirements of federal rules that may apply and subsequent guidance provided by HUD.</w:t>
      </w:r>
    </w:p>
    <w:p w14:paraId="003E3608" w14:textId="77777777" w:rsidR="00250F17" w:rsidRDefault="00250F17" w:rsidP="00250F17">
      <w:pPr>
        <w:numPr>
          <w:ilvl w:val="1"/>
          <w:numId w:val="3"/>
        </w:numPr>
        <w:tabs>
          <w:tab w:val="left" w:pos="450"/>
        </w:tabs>
        <w:spacing w:after="240"/>
        <w:rPr>
          <w:rFonts w:ascii="Calibri" w:hAnsi="Calibri" w:cs="Times New Roman"/>
          <w:szCs w:val="24"/>
        </w:rPr>
      </w:pPr>
      <w:r w:rsidRPr="00250F17">
        <w:rPr>
          <w:rFonts w:ascii="Calibri" w:hAnsi="Calibri" w:cs="Times New Roman"/>
          <w:b/>
          <w:szCs w:val="24"/>
        </w:rPr>
        <w:t>Application Forms.</w:t>
      </w:r>
      <w:r w:rsidRPr="00250F17">
        <w:rPr>
          <w:rFonts w:ascii="Calibri" w:hAnsi="Calibri" w:cs="Times New Roman"/>
          <w:szCs w:val="24"/>
        </w:rPr>
        <w:t xml:space="preserve"> An Application must be on forms provided by the Department, and cannot be altered or modified, and must be in final form before submitting it to the Department. An Applicant must submit the Application materials as </w:t>
      </w:r>
      <w:r w:rsidRPr="00250F17">
        <w:rPr>
          <w:rFonts w:ascii="Calibri" w:hAnsi="Calibri" w:cs="Times New Roman"/>
          <w:szCs w:val="24"/>
        </w:rPr>
        <w:lastRenderedPageBreak/>
        <w:t>detailed in the Multifamily Programs Procedures Manual (Manual) in effect at the time the Application is submitted. All scanned copies must be scanned in accordance with the guidance provided in the Manual in effect at the time the Application is submitted.</w:t>
      </w:r>
    </w:p>
    <w:p w14:paraId="6DAB73D2" w14:textId="77777777" w:rsidR="00250F17" w:rsidRPr="00250F17" w:rsidRDefault="00250F17" w:rsidP="00250F17">
      <w:pPr>
        <w:numPr>
          <w:ilvl w:val="1"/>
          <w:numId w:val="3"/>
        </w:numPr>
        <w:tabs>
          <w:tab w:val="left" w:pos="450"/>
        </w:tabs>
        <w:spacing w:after="240"/>
        <w:rPr>
          <w:rFonts w:ascii="Calibri" w:hAnsi="Calibri" w:cs="Times New Roman"/>
          <w:b/>
          <w:szCs w:val="24"/>
        </w:rPr>
      </w:pPr>
      <w:r w:rsidRPr="00250F17">
        <w:rPr>
          <w:rFonts w:ascii="Calibri" w:hAnsi="Calibri" w:cs="Times New Roman"/>
          <w:b/>
          <w:szCs w:val="24"/>
        </w:rPr>
        <w:t>Match Submission Requirements</w:t>
      </w:r>
      <w:r>
        <w:rPr>
          <w:rFonts w:ascii="Calibri" w:hAnsi="Calibri" w:cs="Times New Roman"/>
          <w:b/>
          <w:szCs w:val="24"/>
        </w:rPr>
        <w:t>.</w:t>
      </w:r>
    </w:p>
    <w:p w14:paraId="658731DB" w14:textId="77777777" w:rsidR="00250F17" w:rsidRDefault="00250F17" w:rsidP="00250F17">
      <w:pPr>
        <w:numPr>
          <w:ilvl w:val="2"/>
          <w:numId w:val="3"/>
        </w:numPr>
        <w:tabs>
          <w:tab w:val="left" w:pos="450"/>
        </w:tabs>
        <w:spacing w:after="240"/>
        <w:rPr>
          <w:rFonts w:ascii="Calibri" w:hAnsi="Calibri" w:cs="Times New Roman"/>
          <w:szCs w:val="24"/>
        </w:rPr>
      </w:pPr>
      <w:r w:rsidRPr="00250F17">
        <w:rPr>
          <w:rFonts w:ascii="Calibri" w:hAnsi="Calibri" w:cs="Times New Roman"/>
          <w:szCs w:val="24"/>
        </w:rPr>
        <w:t xml:space="preserve">All Applicants must provide Match in the amount of </w:t>
      </w:r>
      <w:r w:rsidRPr="00250F17">
        <w:rPr>
          <w:rFonts w:ascii="Calibri" w:hAnsi="Calibri" w:cs="Times New Roman"/>
          <w:b/>
          <w:szCs w:val="24"/>
        </w:rPr>
        <w:t xml:space="preserve">at least 7.5% </w:t>
      </w:r>
      <w:r w:rsidRPr="00250F17">
        <w:rPr>
          <w:rFonts w:ascii="Calibri" w:hAnsi="Calibri" w:cs="Times New Roman"/>
          <w:szCs w:val="24"/>
        </w:rPr>
        <w:t>of the Direct Loan funds requested. Except for Match in the form of the net present value of a below market interest rate loan or a property tax exemption under Sections 11.111, 11.18, 11.181, 11.182, 11.1825, or 11.1827 of Texas Property Tax Code, Match must be documented with a letter from the anticipated provider of Match indicating the provider’s willingness and ability to make a financial commitment should the Development receive an award of Direct Loan funds.</w:t>
      </w:r>
    </w:p>
    <w:p w14:paraId="0E907C72" w14:textId="77777777" w:rsidR="00250F17" w:rsidRPr="00250F17" w:rsidRDefault="00250F17" w:rsidP="00250F17">
      <w:pPr>
        <w:numPr>
          <w:ilvl w:val="2"/>
          <w:numId w:val="3"/>
        </w:numPr>
        <w:tabs>
          <w:tab w:val="left" w:pos="450"/>
        </w:tabs>
        <w:spacing w:after="240"/>
        <w:rPr>
          <w:rFonts w:ascii="Calibri" w:hAnsi="Calibri" w:cs="Times New Roman"/>
          <w:szCs w:val="24"/>
        </w:rPr>
      </w:pPr>
      <w:r w:rsidRPr="00250F17">
        <w:rPr>
          <w:rFonts w:ascii="Calibri" w:hAnsi="Calibri" w:cs="Times New Roman"/>
          <w:szCs w:val="24"/>
        </w:rPr>
        <w:t xml:space="preserve">All Applicants will be required to provide HOME Match-Eligible Unit(s) in accordance with </w:t>
      </w:r>
      <w:r w:rsidRPr="00126954">
        <w:rPr>
          <w:rFonts w:ascii="Calibri" w:hAnsi="Calibri" w:cs="Times New Roman"/>
          <w:b/>
          <w:szCs w:val="24"/>
        </w:rPr>
        <w:t>10 TAC §13.2(a)(6) and §13.10(c)</w:t>
      </w:r>
      <w:r w:rsidRPr="00250F17">
        <w:rPr>
          <w:rFonts w:ascii="Calibri" w:hAnsi="Calibri" w:cs="Times New Roman"/>
          <w:szCs w:val="24"/>
        </w:rPr>
        <w:t xml:space="preserve"> and federal guidance at https://www.hudexchange.info/resource/2676/notice-cpd-97-03-home-programmatch-guidance/</w:t>
      </w:r>
    </w:p>
    <w:p w14:paraId="5A6511E6" w14:textId="77777777" w:rsidR="00C67BD9" w:rsidRPr="00C808D0" w:rsidRDefault="00250F17" w:rsidP="00C808D0">
      <w:pPr>
        <w:numPr>
          <w:ilvl w:val="1"/>
          <w:numId w:val="3"/>
        </w:numPr>
        <w:tabs>
          <w:tab w:val="left" w:pos="450"/>
        </w:tabs>
        <w:spacing w:after="240"/>
        <w:rPr>
          <w:rFonts w:ascii="Calibri" w:hAnsi="Calibri" w:cs="Times New Roman"/>
          <w:szCs w:val="24"/>
        </w:rPr>
      </w:pPr>
      <w:r w:rsidRPr="00250F17">
        <w:rPr>
          <w:rFonts w:ascii="Calibri" w:hAnsi="Calibri" w:cs="Times New Roman"/>
          <w:b/>
          <w:szCs w:val="24"/>
        </w:rPr>
        <w:t>Bond Reservation.</w:t>
      </w:r>
      <w:r w:rsidRPr="00250F17">
        <w:rPr>
          <w:rFonts w:ascii="Calibri" w:hAnsi="Calibri" w:cs="Times New Roman"/>
          <w:szCs w:val="24"/>
        </w:rPr>
        <w:t xml:space="preserve"> All 4% HTC-layered applications must provide evidence of a Reservation with submission of the MFDL Application submission.</w:t>
      </w:r>
    </w:p>
    <w:p w14:paraId="20D3EA38" w14:textId="69B2DD82" w:rsidR="00D66100" w:rsidRPr="00A76F87" w:rsidRDefault="00D66100" w:rsidP="00A76F87">
      <w:pPr>
        <w:numPr>
          <w:ilvl w:val="1"/>
          <w:numId w:val="3"/>
        </w:numPr>
        <w:tabs>
          <w:tab w:val="left" w:pos="450"/>
        </w:tabs>
        <w:spacing w:after="240"/>
        <w:rPr>
          <w:rFonts w:ascii="Calibri" w:hAnsi="Calibri" w:cs="Times New Roman"/>
          <w:b/>
          <w:szCs w:val="24"/>
        </w:rPr>
      </w:pPr>
      <w:r w:rsidRPr="00A76F87">
        <w:rPr>
          <w:rFonts w:ascii="Calibri" w:hAnsi="Calibri" w:cs="Times New Roman"/>
          <w:b/>
          <w:szCs w:val="24"/>
        </w:rPr>
        <w:t>Environmental Clearance</w:t>
      </w:r>
    </w:p>
    <w:p w14:paraId="7CCD21AF" w14:textId="77777777" w:rsidR="008C3925" w:rsidRDefault="00D66100" w:rsidP="00A76F87">
      <w:pPr>
        <w:numPr>
          <w:ilvl w:val="2"/>
          <w:numId w:val="3"/>
        </w:numPr>
        <w:tabs>
          <w:tab w:val="left" w:pos="450"/>
        </w:tabs>
        <w:spacing w:after="240"/>
        <w:rPr>
          <w:rFonts w:ascii="Calibri" w:hAnsi="Calibri" w:cs="Times New Roman"/>
          <w:szCs w:val="24"/>
        </w:rPr>
      </w:pPr>
      <w:r w:rsidRPr="00D66100">
        <w:rPr>
          <w:rFonts w:ascii="Calibri" w:hAnsi="Calibri" w:cs="Times New Roman"/>
          <w:szCs w:val="24"/>
        </w:rPr>
        <w:t>For HOME, a choice-limiting action may not have occurred, except for site acquisition that was completed before the contemplation of the submission of the multifamily application, except where the Application has prior environmental clearance under 24 CFR Part 50 or Part 58, and where the prior 24 CFR 50 or 58 “Responsible Entity” agrees in writing by the Application Acceptance Date, to make a determination of supplemental funding or perform a re-evaluation of the original review.</w:t>
      </w:r>
    </w:p>
    <w:p w14:paraId="64923161" w14:textId="77777777" w:rsidR="00D66100" w:rsidRDefault="00D66100" w:rsidP="00A76F87">
      <w:pPr>
        <w:numPr>
          <w:ilvl w:val="2"/>
          <w:numId w:val="3"/>
        </w:numPr>
        <w:tabs>
          <w:tab w:val="left" w:pos="450"/>
        </w:tabs>
        <w:spacing w:after="240"/>
        <w:rPr>
          <w:rFonts w:ascii="Calibri" w:hAnsi="Calibri" w:cs="Times New Roman"/>
          <w:szCs w:val="24"/>
        </w:rPr>
      </w:pPr>
      <w:r w:rsidRPr="00D66100">
        <w:rPr>
          <w:rFonts w:ascii="Calibri" w:hAnsi="Calibri" w:cs="Times New Roman"/>
          <w:szCs w:val="24"/>
        </w:rPr>
        <w:t>For NHTF, if construction has started (except for necessary health and safety repairs) the Applicant must cease construction at application submission until environmental clearance is received, a period which could last 120 or more days; Applications will not be recommended for an award if they do not meet Department standards for environmental clearance.</w:t>
      </w:r>
    </w:p>
    <w:p w14:paraId="6666FEEE" w14:textId="17AEA58F" w:rsidR="00D66100" w:rsidRPr="00F53460" w:rsidRDefault="00D66100" w:rsidP="00F53460">
      <w:pPr>
        <w:numPr>
          <w:ilvl w:val="1"/>
          <w:numId w:val="3"/>
        </w:numPr>
        <w:tabs>
          <w:tab w:val="left" w:pos="450"/>
        </w:tabs>
        <w:spacing w:after="240"/>
        <w:rPr>
          <w:rFonts w:ascii="Calibri" w:hAnsi="Calibri" w:cs="Times New Roman"/>
          <w:szCs w:val="24"/>
        </w:rPr>
      </w:pPr>
      <w:r w:rsidRPr="00D66100">
        <w:rPr>
          <w:rFonts w:ascii="Calibri" w:hAnsi="Calibri" w:cs="Times New Roman"/>
          <w:b/>
          <w:szCs w:val="24"/>
        </w:rPr>
        <w:t>Application Fee.</w:t>
      </w:r>
      <w:r>
        <w:rPr>
          <w:rFonts w:ascii="Calibri" w:hAnsi="Calibri" w:cs="Times New Roman"/>
          <w:szCs w:val="24"/>
        </w:rPr>
        <w:t xml:space="preserve"> </w:t>
      </w:r>
      <w:r w:rsidR="00A26831">
        <w:rPr>
          <w:rFonts w:ascii="Calibri" w:hAnsi="Calibri" w:cs="Times New Roman"/>
          <w:szCs w:val="24"/>
        </w:rPr>
        <w:t xml:space="preserve">An Applicant under the </w:t>
      </w:r>
      <w:r w:rsidR="00F53460">
        <w:rPr>
          <w:rFonts w:ascii="Calibri" w:hAnsi="Calibri" w:cs="Times New Roman"/>
          <w:szCs w:val="24"/>
        </w:rPr>
        <w:t>General</w:t>
      </w:r>
      <w:r w:rsidR="00A26831">
        <w:rPr>
          <w:rFonts w:ascii="Calibri" w:hAnsi="Calibri" w:cs="Times New Roman"/>
          <w:szCs w:val="24"/>
        </w:rPr>
        <w:t xml:space="preserve"> or</w:t>
      </w:r>
      <w:r w:rsidR="00F53460">
        <w:rPr>
          <w:rFonts w:ascii="Calibri" w:hAnsi="Calibri" w:cs="Times New Roman"/>
          <w:szCs w:val="24"/>
        </w:rPr>
        <w:t xml:space="preserve"> CHDO</w:t>
      </w:r>
      <w:r w:rsidR="00A26831">
        <w:rPr>
          <w:rFonts w:ascii="Calibri" w:hAnsi="Calibri" w:cs="Times New Roman"/>
          <w:szCs w:val="24"/>
        </w:rPr>
        <w:t xml:space="preserve"> Set-Aside</w:t>
      </w:r>
      <w:r w:rsidR="00F53460">
        <w:rPr>
          <w:rFonts w:ascii="Calibri" w:hAnsi="Calibri" w:cs="Times New Roman"/>
          <w:szCs w:val="24"/>
        </w:rPr>
        <w:t xml:space="preserve"> </w:t>
      </w:r>
      <w:r w:rsidR="00F53460" w:rsidRPr="00F53460">
        <w:rPr>
          <w:rFonts w:ascii="Calibri" w:hAnsi="Calibri" w:cs="Times New Roman"/>
          <w:szCs w:val="24"/>
        </w:rPr>
        <w:t>who is not simultaneously applying for 9% or 4% Housing Tax</w:t>
      </w:r>
      <w:r w:rsidR="00F53460">
        <w:rPr>
          <w:rFonts w:ascii="Calibri" w:hAnsi="Calibri" w:cs="Times New Roman"/>
          <w:szCs w:val="24"/>
        </w:rPr>
        <w:t xml:space="preserve"> </w:t>
      </w:r>
      <w:r w:rsidR="00F53460" w:rsidRPr="00F53460">
        <w:rPr>
          <w:rFonts w:ascii="Calibri" w:hAnsi="Calibri" w:cs="Times New Roman"/>
          <w:szCs w:val="24"/>
        </w:rPr>
        <w:t>Credits</w:t>
      </w:r>
      <w:r w:rsidRPr="00F53460">
        <w:rPr>
          <w:rFonts w:ascii="Calibri" w:hAnsi="Calibri" w:cs="Times New Roman"/>
          <w:szCs w:val="24"/>
        </w:rPr>
        <w:t xml:space="preserve"> is required to remit a non-refundable Application fee payable to the Texas Department of Housing and Community Affairs in the amount of $1,000.00 per Application, unless exempted as described at </w:t>
      </w:r>
      <w:r w:rsidRPr="00F53460">
        <w:rPr>
          <w:rFonts w:ascii="Calibri" w:hAnsi="Calibri" w:cs="Times New Roman"/>
          <w:b/>
          <w:szCs w:val="24"/>
        </w:rPr>
        <w:t xml:space="preserve">10 TAC §11.901(3)(B). </w:t>
      </w:r>
      <w:r w:rsidRPr="00F53460">
        <w:rPr>
          <w:rFonts w:ascii="Calibri" w:hAnsi="Calibri" w:cs="Times New Roman"/>
          <w:szCs w:val="24"/>
        </w:rPr>
        <w:t xml:space="preserve">Payment must be in the form of a check, </w:t>
      </w:r>
      <w:r w:rsidRPr="00F53460">
        <w:rPr>
          <w:rFonts w:ascii="Calibri" w:hAnsi="Calibri" w:cs="Times New Roman"/>
          <w:szCs w:val="24"/>
        </w:rPr>
        <w:lastRenderedPageBreak/>
        <w:t>cashier’s check or money order. Do not send cash. Tex. Gov't Code §2306.147(b) requires the Department to waive Application fees for private nonprofit organizations that offer expanded services such as child care, nutrition programs, job training assistance, health services, or human services. These organizations must include proof of their exempt status and a description of their supportive services in lieu of the Application fee. The Application fee is not a reimbursable cost under the Multifamily Direct Loan Program.</w:t>
      </w:r>
    </w:p>
    <w:p w14:paraId="184EF071" w14:textId="77777777" w:rsidR="00D66100" w:rsidRPr="008C3925" w:rsidRDefault="00D66100" w:rsidP="00D66100">
      <w:pPr>
        <w:numPr>
          <w:ilvl w:val="1"/>
          <w:numId w:val="3"/>
        </w:numPr>
        <w:tabs>
          <w:tab w:val="left" w:pos="450"/>
        </w:tabs>
        <w:spacing w:after="240"/>
        <w:rPr>
          <w:rFonts w:ascii="Calibri" w:hAnsi="Calibri" w:cs="Times New Roman"/>
          <w:szCs w:val="24"/>
        </w:rPr>
      </w:pPr>
      <w:r w:rsidRPr="00D66100">
        <w:rPr>
          <w:rFonts w:ascii="Calibri" w:hAnsi="Calibri" w:cs="Times New Roman"/>
          <w:b/>
          <w:szCs w:val="24"/>
        </w:rPr>
        <w:t>Application Transmittal Required Steps.</w:t>
      </w:r>
      <w:r w:rsidRPr="00D66100">
        <w:rPr>
          <w:rFonts w:ascii="Calibri" w:hAnsi="Calibri" w:cs="Times New Roman"/>
          <w:szCs w:val="24"/>
        </w:rPr>
        <w:t xml:space="preserve"> An Application must be uploaded to the Department’s secure web transfer server in accordance with </w:t>
      </w:r>
      <w:r w:rsidRPr="00D66100">
        <w:rPr>
          <w:rFonts w:ascii="Calibri" w:hAnsi="Calibri" w:cs="Times New Roman"/>
          <w:b/>
          <w:szCs w:val="24"/>
        </w:rPr>
        <w:t>10 TAC §11.201(1)(C),</w:t>
      </w:r>
      <w:r w:rsidRPr="00D66100">
        <w:rPr>
          <w:rFonts w:ascii="Calibri" w:hAnsi="Calibri" w:cs="Times New Roman"/>
          <w:szCs w:val="24"/>
        </w:rPr>
        <w:t xml:space="preserve"> and separate email notification must be made to </w:t>
      </w:r>
      <w:r>
        <w:rPr>
          <w:rFonts w:ascii="Calibri" w:hAnsi="Calibri" w:cs="Times New Roman"/>
          <w:szCs w:val="24"/>
        </w:rPr>
        <w:t>connor</w:t>
      </w:r>
      <w:r w:rsidRPr="00D66100">
        <w:rPr>
          <w:rFonts w:ascii="Calibri" w:hAnsi="Calibri" w:cs="Times New Roman"/>
          <w:szCs w:val="24"/>
        </w:rPr>
        <w:t>.</w:t>
      </w:r>
      <w:r>
        <w:rPr>
          <w:rFonts w:ascii="Calibri" w:hAnsi="Calibri" w:cs="Times New Roman"/>
          <w:szCs w:val="24"/>
        </w:rPr>
        <w:t>jones</w:t>
      </w:r>
      <w:r w:rsidRPr="00D66100">
        <w:rPr>
          <w:rFonts w:ascii="Calibri" w:hAnsi="Calibri" w:cs="Times New Roman"/>
          <w:szCs w:val="24"/>
        </w:rPr>
        <w:t>@tdhca.state.tx.us</w:t>
      </w:r>
    </w:p>
    <w:p w14:paraId="276ADBD2" w14:textId="77777777" w:rsidR="004959D0" w:rsidRDefault="004959D0" w:rsidP="004959D0">
      <w:pPr>
        <w:tabs>
          <w:tab w:val="left" w:pos="450"/>
        </w:tabs>
        <w:ind w:left="720"/>
        <w:rPr>
          <w:rFonts w:ascii="Calibri" w:hAnsi="Calibri" w:cs="Times New Roman"/>
          <w:b/>
          <w:szCs w:val="24"/>
        </w:rPr>
      </w:pPr>
    </w:p>
    <w:p w14:paraId="497FC6AE" w14:textId="77777777" w:rsidR="004959D0" w:rsidRPr="00527A89" w:rsidRDefault="00527A89" w:rsidP="00527A89">
      <w:pPr>
        <w:numPr>
          <w:ilvl w:val="0"/>
          <w:numId w:val="3"/>
        </w:numPr>
        <w:tabs>
          <w:tab w:val="left" w:pos="450"/>
        </w:tabs>
        <w:rPr>
          <w:rFonts w:ascii="Calibri" w:hAnsi="Calibri" w:cs="Times New Roman"/>
          <w:b/>
          <w:szCs w:val="24"/>
        </w:rPr>
      </w:pPr>
      <w:r>
        <w:rPr>
          <w:rFonts w:ascii="Calibri" w:hAnsi="Calibri" w:cs="Times New Roman"/>
          <w:b/>
          <w:szCs w:val="24"/>
        </w:rPr>
        <w:t xml:space="preserve">Post Award Requirements. </w:t>
      </w:r>
      <w:r w:rsidRPr="00527A89">
        <w:rPr>
          <w:rFonts w:ascii="Calibri" w:hAnsi="Calibri" w:cs="Times New Roman"/>
          <w:szCs w:val="24"/>
        </w:rPr>
        <w:t>Applicants are strongly encouraged to review the applicable Post Award requirements in 10 TAC Chapter 10, Subchapter E, Post Award and Asset Page 14 of 17 Management Requirements and 10 TAC Chapter 13, as well as the Compliance Monitoring requirements in 10 TAC Chapter 10, Subchapters F and G.</w:t>
      </w:r>
    </w:p>
    <w:p w14:paraId="45F5CE50" w14:textId="77777777" w:rsidR="00527A89" w:rsidRPr="00527A89" w:rsidRDefault="00527A89" w:rsidP="00527A89">
      <w:pPr>
        <w:tabs>
          <w:tab w:val="left" w:pos="450"/>
        </w:tabs>
        <w:ind w:left="720"/>
        <w:rPr>
          <w:rFonts w:ascii="Calibri" w:hAnsi="Calibri" w:cs="Times New Roman"/>
          <w:b/>
          <w:szCs w:val="24"/>
        </w:rPr>
      </w:pPr>
    </w:p>
    <w:p w14:paraId="01F8A962" w14:textId="77777777" w:rsidR="00527A89" w:rsidRDefault="00527A89" w:rsidP="00527A89">
      <w:pPr>
        <w:numPr>
          <w:ilvl w:val="1"/>
          <w:numId w:val="3"/>
        </w:numPr>
        <w:tabs>
          <w:tab w:val="left" w:pos="450"/>
        </w:tabs>
        <w:rPr>
          <w:rFonts w:ascii="Calibri" w:hAnsi="Calibri" w:cs="Times New Roman"/>
          <w:szCs w:val="24"/>
        </w:rPr>
      </w:pPr>
      <w:r w:rsidRPr="00527A89">
        <w:rPr>
          <w:rFonts w:ascii="Calibri" w:hAnsi="Calibri" w:cs="Times New Roman"/>
          <w:szCs w:val="24"/>
        </w:rPr>
        <w:t>Awarded Applicants may, at the Department’s discretion, be charged fees for underwriting, asset management, and ongoing monitoring.</w:t>
      </w:r>
    </w:p>
    <w:p w14:paraId="3B86D1AB" w14:textId="77777777" w:rsidR="00527A89" w:rsidRPr="00527A89" w:rsidRDefault="00527A89" w:rsidP="00527A89">
      <w:pPr>
        <w:tabs>
          <w:tab w:val="left" w:pos="450"/>
        </w:tabs>
        <w:ind w:left="1440"/>
        <w:rPr>
          <w:rFonts w:ascii="Calibri" w:hAnsi="Calibri" w:cs="Times New Roman"/>
          <w:szCs w:val="24"/>
        </w:rPr>
      </w:pPr>
    </w:p>
    <w:p w14:paraId="3E266863" w14:textId="77777777" w:rsidR="00527A89" w:rsidRPr="00527A89" w:rsidRDefault="00527A89" w:rsidP="00527A89">
      <w:pPr>
        <w:numPr>
          <w:ilvl w:val="1"/>
          <w:numId w:val="3"/>
        </w:numPr>
        <w:tabs>
          <w:tab w:val="left" w:pos="450"/>
        </w:tabs>
        <w:rPr>
          <w:rFonts w:ascii="Calibri" w:hAnsi="Calibri" w:cs="Times New Roman"/>
          <w:szCs w:val="24"/>
        </w:rPr>
      </w:pPr>
      <w:r w:rsidRPr="00527A89">
        <w:rPr>
          <w:rFonts w:ascii="Calibri" w:hAnsi="Calibri" w:cs="Times New Roman"/>
          <w:szCs w:val="24"/>
        </w:rPr>
        <w:t>An Applicant will be required to record a Land Use Restriction Agreement (LURA) limiting residents’ income and rent for the greater amount of Units required by the Direct Loan Unit Calculation Tool along with any require HOME Match-eligible units, or as represented in the Application for the term of the LURA.</w:t>
      </w:r>
    </w:p>
    <w:p w14:paraId="627F7195" w14:textId="77777777" w:rsidR="00527A89" w:rsidRDefault="00527A89" w:rsidP="00527A89">
      <w:pPr>
        <w:tabs>
          <w:tab w:val="left" w:pos="450"/>
        </w:tabs>
        <w:ind w:left="1440"/>
        <w:rPr>
          <w:rFonts w:ascii="Calibri" w:hAnsi="Calibri" w:cs="Times New Roman"/>
          <w:b/>
          <w:szCs w:val="24"/>
        </w:rPr>
      </w:pPr>
    </w:p>
    <w:p w14:paraId="75B7DEDE" w14:textId="7E0F1E69" w:rsidR="0003077E" w:rsidRPr="0003077E" w:rsidRDefault="00527A89" w:rsidP="0003077E">
      <w:pPr>
        <w:pStyle w:val="ListParagraph"/>
        <w:numPr>
          <w:ilvl w:val="1"/>
          <w:numId w:val="3"/>
        </w:numPr>
        <w:rPr>
          <w:rFonts w:ascii="Calibri" w:hAnsi="Calibri" w:cs="Times New Roman"/>
          <w:szCs w:val="24"/>
        </w:rPr>
      </w:pPr>
      <w:r w:rsidRPr="0003077E">
        <w:rPr>
          <w:rFonts w:ascii="Calibri" w:hAnsi="Calibri" w:cs="Times New Roman"/>
          <w:szCs w:val="24"/>
        </w:rPr>
        <w:t xml:space="preserve">An Applicant must have a current </w:t>
      </w:r>
      <w:r w:rsidR="0003077E" w:rsidRPr="0003077E">
        <w:rPr>
          <w:rFonts w:ascii="Calibri" w:hAnsi="Calibri" w:cs="Times New Roman"/>
          <w:szCs w:val="24"/>
        </w:rPr>
        <w:t xml:space="preserve">Unique </w:t>
      </w:r>
      <w:r w:rsidR="0003077E">
        <w:rPr>
          <w:rFonts w:ascii="Calibri" w:hAnsi="Calibri" w:cs="Times New Roman"/>
          <w:szCs w:val="24"/>
        </w:rPr>
        <w:t>Entity Number (UEI)</w:t>
      </w:r>
      <w:r w:rsidRPr="0003077E">
        <w:rPr>
          <w:rFonts w:ascii="Calibri" w:hAnsi="Calibri" w:cs="Times New Roman"/>
          <w:szCs w:val="24"/>
        </w:rPr>
        <w:t xml:space="preserve"> and be registered in the federal System for Award Management prior (SAM) prior to execution of a Direct Loan contract. </w:t>
      </w:r>
      <w:r w:rsidR="0003077E" w:rsidRPr="0003077E">
        <w:rPr>
          <w:rFonts w:ascii="Calibri" w:hAnsi="Calibri" w:cs="Times New Roman"/>
          <w:szCs w:val="24"/>
        </w:rPr>
        <w:t xml:space="preserve">The General Services Administration (GSA) has provided tools to assist registering entities entity and obtaining a UEI. Visit the SAM website at https://sam.gov/content/entity-registration to access a number of resources related to the UEI implementation. Once </w:t>
      </w:r>
      <w:r w:rsidR="0003077E">
        <w:rPr>
          <w:rFonts w:ascii="Calibri" w:hAnsi="Calibri" w:cs="Times New Roman"/>
          <w:szCs w:val="24"/>
        </w:rPr>
        <w:t>an Applicant</w:t>
      </w:r>
      <w:r w:rsidR="0003077E" w:rsidRPr="0003077E">
        <w:rPr>
          <w:rFonts w:ascii="Calibri" w:hAnsi="Calibri" w:cs="Times New Roman"/>
          <w:szCs w:val="24"/>
        </w:rPr>
        <w:t xml:space="preserve"> ha</w:t>
      </w:r>
      <w:r w:rsidR="0003077E">
        <w:rPr>
          <w:rFonts w:ascii="Calibri" w:hAnsi="Calibri" w:cs="Times New Roman"/>
          <w:szCs w:val="24"/>
        </w:rPr>
        <w:t xml:space="preserve">s a UEI </w:t>
      </w:r>
      <w:r w:rsidR="0003077E" w:rsidRPr="0003077E">
        <w:rPr>
          <w:rFonts w:ascii="Calibri" w:hAnsi="Calibri" w:cs="Times New Roman"/>
          <w:szCs w:val="24"/>
        </w:rPr>
        <w:t>register with the SAM.</w:t>
      </w:r>
    </w:p>
    <w:p w14:paraId="6F3A5EB0" w14:textId="77777777" w:rsidR="00527A89" w:rsidRPr="00527A89" w:rsidRDefault="00527A89" w:rsidP="00527A89">
      <w:pPr>
        <w:tabs>
          <w:tab w:val="left" w:pos="450"/>
        </w:tabs>
        <w:ind w:left="1440"/>
        <w:rPr>
          <w:rFonts w:ascii="Calibri" w:hAnsi="Calibri" w:cs="Times New Roman"/>
          <w:szCs w:val="24"/>
        </w:rPr>
      </w:pPr>
    </w:p>
    <w:p w14:paraId="2D4F81CC" w14:textId="77777777" w:rsidR="00527A89" w:rsidRDefault="00527A89" w:rsidP="00527A89">
      <w:pPr>
        <w:numPr>
          <w:ilvl w:val="1"/>
          <w:numId w:val="3"/>
        </w:numPr>
        <w:tabs>
          <w:tab w:val="left" w:pos="450"/>
        </w:tabs>
        <w:rPr>
          <w:rFonts w:ascii="Calibri" w:hAnsi="Calibri" w:cs="Times New Roman"/>
          <w:szCs w:val="24"/>
        </w:rPr>
      </w:pPr>
      <w:r w:rsidRPr="00527A89">
        <w:rPr>
          <w:rFonts w:ascii="Calibri" w:hAnsi="Calibri" w:cs="Times New Roman"/>
          <w:szCs w:val="24"/>
        </w:rPr>
        <w:t>An Applicant may be required to meet additional requirements prior to contract, as determined by the Board, or federal or state requirements.</w:t>
      </w:r>
    </w:p>
    <w:p w14:paraId="5E332C53" w14:textId="77777777" w:rsidR="00527A89" w:rsidRPr="00527A89" w:rsidRDefault="00527A89" w:rsidP="00527A89">
      <w:pPr>
        <w:tabs>
          <w:tab w:val="left" w:pos="450"/>
        </w:tabs>
        <w:ind w:left="1440"/>
        <w:rPr>
          <w:rFonts w:ascii="Calibri" w:hAnsi="Calibri" w:cs="Times New Roman"/>
          <w:szCs w:val="24"/>
        </w:rPr>
      </w:pPr>
    </w:p>
    <w:p w14:paraId="6C385559" w14:textId="77777777" w:rsidR="00527A89" w:rsidRPr="00527A89" w:rsidRDefault="00527A89" w:rsidP="00527A89">
      <w:pPr>
        <w:numPr>
          <w:ilvl w:val="1"/>
          <w:numId w:val="3"/>
        </w:numPr>
        <w:tabs>
          <w:tab w:val="left" w:pos="450"/>
        </w:tabs>
        <w:rPr>
          <w:rFonts w:ascii="Calibri" w:hAnsi="Calibri" w:cs="Times New Roman"/>
          <w:szCs w:val="24"/>
        </w:rPr>
      </w:pPr>
      <w:r w:rsidRPr="00527A89">
        <w:rPr>
          <w:rFonts w:ascii="Calibri" w:hAnsi="Calibri" w:cs="Times New Roman"/>
          <w:szCs w:val="24"/>
        </w:rPr>
        <w:t>An awarded Applicant may be required to meet additional documentation requirements in order to draw funds, in accordance with its Previous Participation results.</w:t>
      </w:r>
    </w:p>
    <w:p w14:paraId="482F386F" w14:textId="77777777" w:rsidR="004959D0" w:rsidRDefault="004959D0" w:rsidP="004959D0">
      <w:pPr>
        <w:tabs>
          <w:tab w:val="left" w:pos="450"/>
        </w:tabs>
        <w:ind w:left="720"/>
        <w:rPr>
          <w:rFonts w:ascii="Calibri" w:hAnsi="Calibri" w:cs="Times New Roman"/>
          <w:b/>
          <w:szCs w:val="24"/>
        </w:rPr>
      </w:pPr>
    </w:p>
    <w:p w14:paraId="5694D2F7" w14:textId="77777777" w:rsidR="008F2BB5" w:rsidRDefault="004959D0" w:rsidP="008F2BB5">
      <w:pPr>
        <w:numPr>
          <w:ilvl w:val="0"/>
          <w:numId w:val="3"/>
        </w:numPr>
        <w:tabs>
          <w:tab w:val="left" w:pos="450"/>
        </w:tabs>
        <w:rPr>
          <w:rFonts w:ascii="Calibri" w:hAnsi="Calibri" w:cs="Times New Roman"/>
          <w:b/>
          <w:szCs w:val="24"/>
        </w:rPr>
      </w:pPr>
      <w:r>
        <w:rPr>
          <w:rFonts w:ascii="Calibri" w:hAnsi="Calibri" w:cs="Times New Roman"/>
          <w:b/>
          <w:szCs w:val="24"/>
        </w:rPr>
        <w:t xml:space="preserve">Miscellaneous </w:t>
      </w:r>
    </w:p>
    <w:p w14:paraId="266E2300" w14:textId="77777777" w:rsidR="00E8380D" w:rsidRDefault="00E8380D" w:rsidP="00E8380D">
      <w:pPr>
        <w:tabs>
          <w:tab w:val="left" w:pos="450"/>
        </w:tabs>
        <w:ind w:left="720"/>
        <w:rPr>
          <w:rFonts w:ascii="Calibri" w:hAnsi="Calibri" w:cs="Times New Roman"/>
          <w:b/>
          <w:szCs w:val="24"/>
        </w:rPr>
      </w:pPr>
    </w:p>
    <w:p w14:paraId="6A418599" w14:textId="77777777" w:rsidR="00E8380D" w:rsidRDefault="00E8380D" w:rsidP="00E8380D">
      <w:pPr>
        <w:pStyle w:val="ListParagraph"/>
        <w:numPr>
          <w:ilvl w:val="1"/>
          <w:numId w:val="3"/>
        </w:numPr>
        <w:rPr>
          <w:rFonts w:ascii="Calibri" w:hAnsi="Calibri" w:cs="Times New Roman"/>
          <w:szCs w:val="24"/>
        </w:rPr>
      </w:pPr>
      <w:r w:rsidRPr="00E8380D">
        <w:rPr>
          <w:rFonts w:ascii="Calibri" w:hAnsi="Calibri" w:cs="Times New Roman"/>
          <w:szCs w:val="24"/>
        </w:rPr>
        <w:lastRenderedPageBreak/>
        <w:t>This NOFA does not include text of the various applicable regulatory provisions pertinent to the fund sources. For proper completion of the application, the Department strongly encourages potential Applicants to review the State and Federal regulations.</w:t>
      </w:r>
    </w:p>
    <w:p w14:paraId="6EAF2D2C" w14:textId="77777777" w:rsidR="00E8380D" w:rsidRPr="00E8380D" w:rsidRDefault="00E8380D" w:rsidP="00E8380D">
      <w:pPr>
        <w:pStyle w:val="ListParagraph"/>
        <w:ind w:left="1440"/>
        <w:rPr>
          <w:rFonts w:ascii="Calibri" w:hAnsi="Calibri" w:cs="Times New Roman"/>
          <w:szCs w:val="24"/>
        </w:rPr>
      </w:pPr>
    </w:p>
    <w:p w14:paraId="5164F515" w14:textId="77777777" w:rsidR="00E8380D" w:rsidRDefault="00E8380D" w:rsidP="00E8380D">
      <w:pPr>
        <w:pStyle w:val="ListParagraph"/>
        <w:numPr>
          <w:ilvl w:val="1"/>
          <w:numId w:val="3"/>
        </w:numPr>
        <w:rPr>
          <w:rFonts w:ascii="Calibri" w:hAnsi="Calibri" w:cs="Times New Roman"/>
          <w:szCs w:val="24"/>
        </w:rPr>
      </w:pPr>
      <w:r w:rsidRPr="00E8380D">
        <w:rPr>
          <w:rFonts w:ascii="Calibri" w:hAnsi="Calibri" w:cs="Times New Roman"/>
          <w:szCs w:val="24"/>
        </w:rPr>
        <w:t>Utility allowances must be for HUD-regulated buildings and approved by TDHCA prior to application (</w:t>
      </w:r>
      <w:r w:rsidRPr="00E8380D">
        <w:rPr>
          <w:rFonts w:ascii="Calibri" w:hAnsi="Calibri" w:cs="Times New Roman"/>
          <w:b/>
          <w:szCs w:val="24"/>
        </w:rPr>
        <w:t>10 TAC §11.614</w:t>
      </w:r>
      <w:r w:rsidRPr="00E8380D">
        <w:rPr>
          <w:rFonts w:ascii="Calibri" w:hAnsi="Calibri" w:cs="Times New Roman"/>
          <w:szCs w:val="24"/>
        </w:rPr>
        <w:t xml:space="preserve">).  </w:t>
      </w:r>
    </w:p>
    <w:p w14:paraId="291B0976" w14:textId="77777777" w:rsidR="00E8380D" w:rsidRPr="00E8380D" w:rsidRDefault="00E8380D" w:rsidP="00E8380D">
      <w:pPr>
        <w:pStyle w:val="ListParagraph"/>
        <w:ind w:left="1440"/>
        <w:rPr>
          <w:rFonts w:ascii="Calibri" w:hAnsi="Calibri" w:cs="Times New Roman"/>
          <w:szCs w:val="24"/>
        </w:rPr>
      </w:pPr>
    </w:p>
    <w:p w14:paraId="0D46BDC0" w14:textId="77777777" w:rsidR="00E8380D" w:rsidRPr="00E8380D" w:rsidRDefault="00E8380D" w:rsidP="00E8380D">
      <w:pPr>
        <w:pStyle w:val="ListParagraph"/>
        <w:numPr>
          <w:ilvl w:val="1"/>
          <w:numId w:val="3"/>
        </w:numPr>
        <w:rPr>
          <w:rFonts w:ascii="Calibri" w:hAnsi="Calibri" w:cs="Times New Roman"/>
          <w:szCs w:val="24"/>
        </w:rPr>
      </w:pPr>
      <w:r w:rsidRPr="00E8380D">
        <w:rPr>
          <w:rFonts w:ascii="Calibri" w:hAnsi="Calibri" w:cs="Times New Roman"/>
          <w:szCs w:val="24"/>
        </w:rPr>
        <w:t xml:space="preserve">All Applicants must comply with public notification requirements in </w:t>
      </w:r>
      <w:r w:rsidRPr="00E8380D">
        <w:rPr>
          <w:rFonts w:ascii="Calibri" w:hAnsi="Calibri" w:cs="Times New Roman"/>
          <w:b/>
          <w:szCs w:val="24"/>
        </w:rPr>
        <w:t>10 TAC §11.203</w:t>
      </w:r>
      <w:r w:rsidRPr="00E8380D">
        <w:rPr>
          <w:rFonts w:ascii="Calibri" w:hAnsi="Calibri" w:cs="Times New Roman"/>
          <w:szCs w:val="24"/>
        </w:rPr>
        <w:t xml:space="preserve">. </w:t>
      </w:r>
    </w:p>
    <w:p w14:paraId="6DEA25F8" w14:textId="77777777" w:rsidR="00E8380D" w:rsidRPr="00E8380D" w:rsidRDefault="00E8380D" w:rsidP="00E8380D">
      <w:pPr>
        <w:pStyle w:val="ListParagraph"/>
        <w:ind w:left="1440"/>
        <w:rPr>
          <w:rFonts w:ascii="Calibri" w:hAnsi="Calibri" w:cs="Times New Roman"/>
          <w:szCs w:val="24"/>
        </w:rPr>
      </w:pPr>
    </w:p>
    <w:p w14:paraId="4ABF9647" w14:textId="77777777" w:rsidR="00E8380D" w:rsidRDefault="00E8380D" w:rsidP="00E8380D">
      <w:pPr>
        <w:pStyle w:val="ListParagraph"/>
        <w:numPr>
          <w:ilvl w:val="1"/>
          <w:numId w:val="3"/>
        </w:numPr>
        <w:rPr>
          <w:rFonts w:ascii="Calibri" w:hAnsi="Calibri" w:cs="Times New Roman"/>
          <w:szCs w:val="24"/>
        </w:rPr>
      </w:pPr>
      <w:r w:rsidRPr="00E8380D">
        <w:rPr>
          <w:rFonts w:ascii="Calibri" w:hAnsi="Calibri" w:cs="Times New Roman"/>
          <w:szCs w:val="24"/>
        </w:rPr>
        <w:t xml:space="preserve">Waivers of any substantive or procedural provision of this NOFA, if available, will be treated in accordance with </w:t>
      </w:r>
      <w:r w:rsidRPr="00E8380D">
        <w:rPr>
          <w:rFonts w:ascii="Calibri" w:hAnsi="Calibri" w:cs="Times New Roman"/>
          <w:b/>
          <w:szCs w:val="24"/>
        </w:rPr>
        <w:t>10 TAC §13.1(c).  10 TAC §13.1(c)</w:t>
      </w:r>
      <w:r w:rsidRPr="00E8380D">
        <w:rPr>
          <w:rFonts w:ascii="Calibri" w:hAnsi="Calibri" w:cs="Times New Roman"/>
          <w:szCs w:val="24"/>
        </w:rPr>
        <w:t xml:space="preserve"> may not be waived.</w:t>
      </w:r>
    </w:p>
    <w:p w14:paraId="32F4ECF2" w14:textId="77777777" w:rsidR="00E8380D" w:rsidRPr="00E8380D" w:rsidRDefault="00E8380D" w:rsidP="00E8380D">
      <w:pPr>
        <w:pStyle w:val="ListParagraph"/>
        <w:ind w:left="1440"/>
        <w:rPr>
          <w:rFonts w:ascii="Calibri" w:hAnsi="Calibri" w:cs="Times New Roman"/>
          <w:szCs w:val="24"/>
        </w:rPr>
      </w:pPr>
    </w:p>
    <w:p w14:paraId="7932E0DE" w14:textId="77777777" w:rsidR="00E8380D" w:rsidRPr="00E8380D" w:rsidRDefault="00E8380D" w:rsidP="00E8380D">
      <w:pPr>
        <w:pStyle w:val="ListParagraph"/>
        <w:numPr>
          <w:ilvl w:val="1"/>
          <w:numId w:val="3"/>
        </w:numPr>
        <w:rPr>
          <w:rFonts w:ascii="Calibri" w:hAnsi="Calibri" w:cs="Times New Roman"/>
          <w:szCs w:val="24"/>
        </w:rPr>
      </w:pPr>
      <w:r w:rsidRPr="00E8380D">
        <w:rPr>
          <w:rFonts w:ascii="Calibri" w:hAnsi="Calibri" w:cs="Times New Roman"/>
          <w:szCs w:val="24"/>
        </w:rPr>
        <w:t xml:space="preserve">For questions regarding this NOFA, please contact </w:t>
      </w:r>
      <w:r>
        <w:rPr>
          <w:rFonts w:ascii="Calibri" w:hAnsi="Calibri" w:cs="Times New Roman"/>
          <w:szCs w:val="24"/>
        </w:rPr>
        <w:t>Connor</w:t>
      </w:r>
      <w:r w:rsidRPr="00E8380D">
        <w:rPr>
          <w:rFonts w:ascii="Calibri" w:hAnsi="Calibri" w:cs="Times New Roman"/>
          <w:szCs w:val="24"/>
        </w:rPr>
        <w:t xml:space="preserve"> </w:t>
      </w:r>
      <w:r>
        <w:rPr>
          <w:rFonts w:ascii="Calibri" w:hAnsi="Calibri" w:cs="Times New Roman"/>
          <w:szCs w:val="24"/>
        </w:rPr>
        <w:t>Jones</w:t>
      </w:r>
      <w:r w:rsidRPr="00E8380D">
        <w:rPr>
          <w:rFonts w:ascii="Calibri" w:hAnsi="Calibri" w:cs="Times New Roman"/>
          <w:szCs w:val="24"/>
        </w:rPr>
        <w:t xml:space="preserve">, Multifamily Direct Loan </w:t>
      </w:r>
      <w:r>
        <w:rPr>
          <w:rFonts w:ascii="Calibri" w:hAnsi="Calibri" w:cs="Times New Roman"/>
          <w:szCs w:val="24"/>
        </w:rPr>
        <w:t xml:space="preserve">Program </w:t>
      </w:r>
      <w:r w:rsidRPr="00E8380D">
        <w:rPr>
          <w:rFonts w:ascii="Calibri" w:hAnsi="Calibri" w:cs="Times New Roman"/>
          <w:szCs w:val="24"/>
        </w:rPr>
        <w:t>Manager, at connor.jones@tdhca.state.tx.us.</w:t>
      </w:r>
    </w:p>
    <w:p w14:paraId="2FE9A680" w14:textId="77777777" w:rsidR="00E8380D" w:rsidRPr="00591BF4" w:rsidRDefault="00E8380D" w:rsidP="00E8380D">
      <w:pPr>
        <w:tabs>
          <w:tab w:val="left" w:pos="450"/>
        </w:tabs>
        <w:ind w:left="1440"/>
        <w:rPr>
          <w:rFonts w:ascii="Calibri" w:hAnsi="Calibri" w:cs="Times New Roman"/>
          <w:b/>
          <w:szCs w:val="24"/>
        </w:rPr>
      </w:pPr>
    </w:p>
    <w:p w14:paraId="31A54E19" w14:textId="77777777" w:rsidR="00950B5F" w:rsidRDefault="00950B5F" w:rsidP="00D51A94">
      <w:pPr>
        <w:suppressAutoHyphens w:val="0"/>
        <w:spacing w:after="160" w:line="259" w:lineRule="auto"/>
        <w:jc w:val="left"/>
        <w:rPr>
          <w:rFonts w:ascii="Calibri" w:hAnsi="Calibri" w:cs="Times New Roman"/>
          <w:b/>
          <w:szCs w:val="24"/>
        </w:rPr>
      </w:pPr>
    </w:p>
    <w:p w14:paraId="2DB1E781" w14:textId="77777777" w:rsidR="00D51A94" w:rsidRDefault="00D51A94" w:rsidP="00D51A94">
      <w:pPr>
        <w:suppressAutoHyphens w:val="0"/>
        <w:spacing w:after="160" w:line="259" w:lineRule="auto"/>
        <w:jc w:val="left"/>
        <w:rPr>
          <w:rFonts w:ascii="Calibri" w:hAnsi="Calibri" w:cs="Times New Roman"/>
          <w:b/>
          <w:szCs w:val="24"/>
          <w:highlight w:val="cyan"/>
        </w:rPr>
      </w:pPr>
    </w:p>
    <w:p w14:paraId="1D0B1236" w14:textId="77777777" w:rsidR="00C808D0" w:rsidRDefault="00C808D0">
      <w:pPr>
        <w:suppressAutoHyphens w:val="0"/>
        <w:spacing w:after="160" w:line="259" w:lineRule="auto"/>
        <w:jc w:val="left"/>
        <w:rPr>
          <w:rFonts w:ascii="Calibri" w:hAnsi="Calibri" w:cs="Times New Roman"/>
          <w:b/>
          <w:szCs w:val="24"/>
          <w:u w:val="single"/>
        </w:rPr>
      </w:pPr>
      <w:r>
        <w:rPr>
          <w:rFonts w:ascii="Calibri" w:hAnsi="Calibri" w:cs="Times New Roman"/>
          <w:b/>
          <w:szCs w:val="24"/>
          <w:u w:val="single"/>
        </w:rPr>
        <w:br w:type="page"/>
      </w:r>
    </w:p>
    <w:p w14:paraId="4CC66CFF" w14:textId="77777777" w:rsidR="00591BF4" w:rsidRPr="00591BF4" w:rsidRDefault="00591BF4" w:rsidP="004271E1">
      <w:pPr>
        <w:jc w:val="center"/>
        <w:rPr>
          <w:rFonts w:ascii="Calibri" w:hAnsi="Calibri" w:cs="Times New Roman"/>
          <w:b/>
          <w:szCs w:val="24"/>
          <w:u w:val="single"/>
        </w:rPr>
      </w:pPr>
      <w:r w:rsidRPr="00591BF4">
        <w:rPr>
          <w:rFonts w:ascii="Calibri" w:hAnsi="Calibri" w:cs="Times New Roman"/>
          <w:b/>
          <w:szCs w:val="24"/>
          <w:u w:val="single"/>
        </w:rPr>
        <w:lastRenderedPageBreak/>
        <w:t>Attachment A</w:t>
      </w:r>
    </w:p>
    <w:p w14:paraId="73504222" w14:textId="77777777" w:rsidR="00E8380D" w:rsidRPr="00591BF4" w:rsidRDefault="00E8380D" w:rsidP="004271E1">
      <w:pPr>
        <w:jc w:val="center"/>
        <w:rPr>
          <w:rFonts w:ascii="Calibri" w:hAnsi="Calibri" w:cs="Times New Roman"/>
          <w:b/>
          <w:szCs w:val="24"/>
          <w:u w:val="single"/>
        </w:rPr>
      </w:pPr>
    </w:p>
    <w:p w14:paraId="690607D6" w14:textId="50C1D18F" w:rsidR="00E8380D" w:rsidRPr="00591BF4" w:rsidRDefault="00FC4421" w:rsidP="004271E1">
      <w:pPr>
        <w:jc w:val="center"/>
        <w:rPr>
          <w:rFonts w:ascii="Calibri" w:hAnsi="Calibri" w:cs="Times New Roman"/>
          <w:b/>
          <w:szCs w:val="24"/>
        </w:rPr>
      </w:pPr>
      <w:r>
        <w:rPr>
          <w:rFonts w:ascii="Calibri" w:hAnsi="Calibri" w:cs="Times New Roman"/>
          <w:b/>
          <w:szCs w:val="24"/>
        </w:rPr>
        <w:t xml:space="preserve">NHTF </w:t>
      </w:r>
      <w:r w:rsidR="00E8380D" w:rsidRPr="00591BF4">
        <w:rPr>
          <w:rFonts w:ascii="Calibri" w:hAnsi="Calibri" w:cs="Times New Roman"/>
          <w:b/>
          <w:szCs w:val="24"/>
        </w:rPr>
        <w:t xml:space="preserve">Regional </w:t>
      </w:r>
      <w:r>
        <w:rPr>
          <w:rFonts w:ascii="Calibri" w:hAnsi="Calibri" w:cs="Times New Roman"/>
          <w:b/>
          <w:szCs w:val="24"/>
        </w:rPr>
        <w:t>Distribution</w:t>
      </w:r>
      <w:r w:rsidR="00E8380D" w:rsidRPr="00591BF4">
        <w:rPr>
          <w:rFonts w:ascii="Calibri" w:hAnsi="Calibri" w:cs="Times New Roman"/>
          <w:b/>
          <w:szCs w:val="24"/>
        </w:rPr>
        <w:t xml:space="preserve"> under the Genera</w:t>
      </w:r>
      <w:r w:rsidR="00E8380D">
        <w:rPr>
          <w:rFonts w:ascii="Calibri" w:hAnsi="Calibri" w:cs="Times New Roman"/>
          <w:b/>
          <w:szCs w:val="24"/>
        </w:rPr>
        <w:t xml:space="preserve">l </w:t>
      </w:r>
      <w:r w:rsidR="00E8380D" w:rsidRPr="00591BF4">
        <w:rPr>
          <w:rFonts w:ascii="Calibri" w:hAnsi="Calibri" w:cs="Times New Roman"/>
          <w:b/>
          <w:szCs w:val="24"/>
        </w:rPr>
        <w:t>Set-Aside</w:t>
      </w:r>
    </w:p>
    <w:p w14:paraId="276795C1" w14:textId="77777777" w:rsidR="00E8380D" w:rsidRPr="00591BF4" w:rsidRDefault="00E8380D" w:rsidP="004271E1">
      <w:pPr>
        <w:jc w:val="center"/>
        <w:rPr>
          <w:rFonts w:ascii="Calibri" w:hAnsi="Calibri" w:cs="Times New Roman"/>
          <w:b/>
        </w:rPr>
      </w:pPr>
    </w:p>
    <w:p w14:paraId="4BE8CE00" w14:textId="77777777" w:rsidR="00E8380D" w:rsidRPr="00591BF4" w:rsidRDefault="00E8380D" w:rsidP="004271E1">
      <w:pPr>
        <w:jc w:val="center"/>
        <w:rPr>
          <w:rFonts w:ascii="Calibri" w:hAnsi="Calibri" w:cs="Times New Roman"/>
          <w:b/>
        </w:rPr>
      </w:pPr>
      <w:r>
        <w:rPr>
          <w:rFonts w:ascii="Calibri" w:hAnsi="Calibri" w:cs="Times New Roman"/>
          <w:b/>
        </w:rPr>
        <w:t>NHTF</w:t>
      </w:r>
    </w:p>
    <w:tbl>
      <w:tblPr>
        <w:tblW w:w="77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5"/>
        <w:gridCol w:w="5515"/>
      </w:tblGrid>
      <w:tr w:rsidR="00E8380D" w:rsidRPr="00591BF4" w14:paraId="47000AD8" w14:textId="77777777" w:rsidTr="004271E1">
        <w:trPr>
          <w:trHeight w:val="330"/>
          <w:jc w:val="center"/>
        </w:trPr>
        <w:tc>
          <w:tcPr>
            <w:tcW w:w="2225" w:type="dxa"/>
            <w:shd w:val="clear" w:color="auto" w:fill="auto"/>
            <w:vAlign w:val="center"/>
            <w:hideMark/>
          </w:tcPr>
          <w:p w14:paraId="3D33BB61" w14:textId="77777777" w:rsidR="00E8380D" w:rsidRPr="00591BF4" w:rsidRDefault="00E8380D" w:rsidP="004A0897">
            <w:pPr>
              <w:suppressAutoHyphens w:val="0"/>
              <w:jc w:val="left"/>
              <w:rPr>
                <w:rFonts w:ascii="Calibri" w:hAnsi="Calibri" w:cs="Times New Roman"/>
                <w:b/>
                <w:bCs/>
                <w:color w:val="000000"/>
                <w:szCs w:val="24"/>
                <w:lang w:eastAsia="en-US"/>
              </w:rPr>
            </w:pPr>
            <w:r w:rsidRPr="00591BF4">
              <w:rPr>
                <w:rFonts w:ascii="Calibri" w:hAnsi="Calibri" w:cs="Times New Roman"/>
                <w:b/>
                <w:bCs/>
                <w:color w:val="000000"/>
                <w:szCs w:val="24"/>
                <w:lang w:eastAsia="en-US"/>
              </w:rPr>
              <w:t>Region</w:t>
            </w:r>
          </w:p>
        </w:tc>
        <w:tc>
          <w:tcPr>
            <w:tcW w:w="5515" w:type="dxa"/>
            <w:shd w:val="clear" w:color="auto" w:fill="auto"/>
            <w:vAlign w:val="center"/>
            <w:hideMark/>
          </w:tcPr>
          <w:p w14:paraId="04A848DD" w14:textId="79CE7022" w:rsidR="00E8380D" w:rsidRPr="00591BF4" w:rsidRDefault="00FC4421">
            <w:pPr>
              <w:suppressAutoHyphens w:val="0"/>
              <w:jc w:val="left"/>
              <w:rPr>
                <w:rFonts w:ascii="Calibri" w:hAnsi="Calibri" w:cs="Times New Roman"/>
                <w:b/>
                <w:bCs/>
                <w:color w:val="000000"/>
                <w:szCs w:val="24"/>
                <w:lang w:eastAsia="en-US"/>
              </w:rPr>
            </w:pPr>
            <w:r>
              <w:rPr>
                <w:rFonts w:ascii="Calibri" w:hAnsi="Calibri" w:cs="Times New Roman"/>
                <w:b/>
                <w:bCs/>
                <w:color w:val="000000"/>
                <w:szCs w:val="24"/>
                <w:lang w:eastAsia="en-US"/>
              </w:rPr>
              <w:t>R</w:t>
            </w:r>
            <w:r w:rsidR="00E8380D" w:rsidRPr="00591BF4">
              <w:rPr>
                <w:rFonts w:ascii="Calibri" w:hAnsi="Calibri" w:cs="Times New Roman"/>
                <w:b/>
                <w:bCs/>
                <w:color w:val="000000"/>
                <w:szCs w:val="24"/>
                <w:lang w:eastAsia="en-US"/>
              </w:rPr>
              <w:t xml:space="preserve">egion </w:t>
            </w:r>
            <w:r w:rsidR="00765782">
              <w:rPr>
                <w:rFonts w:ascii="Calibri" w:hAnsi="Calibri" w:cs="Times New Roman"/>
                <w:b/>
                <w:bCs/>
                <w:color w:val="000000"/>
                <w:szCs w:val="24"/>
                <w:lang w:eastAsia="en-US"/>
              </w:rPr>
              <w:t>Distribution Amount</w:t>
            </w:r>
          </w:p>
        </w:tc>
      </w:tr>
      <w:tr w:rsidR="00E8380D" w:rsidRPr="00591BF4" w14:paraId="23FDE2A4" w14:textId="77777777" w:rsidTr="004271E1">
        <w:trPr>
          <w:trHeight w:val="330"/>
          <w:jc w:val="center"/>
        </w:trPr>
        <w:tc>
          <w:tcPr>
            <w:tcW w:w="2225" w:type="dxa"/>
            <w:shd w:val="clear" w:color="auto" w:fill="auto"/>
            <w:noWrap/>
            <w:vAlign w:val="center"/>
            <w:hideMark/>
          </w:tcPr>
          <w:p w14:paraId="67ACE206" w14:textId="6EF896D2" w:rsidR="00E8380D" w:rsidRPr="00591BF4" w:rsidRDefault="00E8380D" w:rsidP="004A0897">
            <w:pPr>
              <w:suppressAutoHyphens w:val="0"/>
              <w:jc w:val="center"/>
              <w:rPr>
                <w:rFonts w:ascii="Calibri" w:hAnsi="Calibri" w:cs="Times New Roman"/>
                <w:color w:val="000000"/>
                <w:szCs w:val="24"/>
                <w:lang w:eastAsia="en-US"/>
              </w:rPr>
            </w:pPr>
            <w:r w:rsidRPr="00591BF4">
              <w:rPr>
                <w:rFonts w:ascii="Calibri" w:hAnsi="Calibri" w:cs="Times New Roman"/>
                <w:color w:val="000000"/>
                <w:szCs w:val="24"/>
                <w:lang w:eastAsia="en-US"/>
              </w:rPr>
              <w:t>1</w:t>
            </w:r>
            <w:r w:rsidR="004271E1">
              <w:rPr>
                <w:rFonts w:ascii="Calibri" w:hAnsi="Calibri" w:cs="Times New Roman"/>
                <w:color w:val="000000"/>
                <w:szCs w:val="24"/>
                <w:lang w:eastAsia="en-US"/>
              </w:rPr>
              <w:t>, 12, 13</w:t>
            </w:r>
          </w:p>
        </w:tc>
        <w:tc>
          <w:tcPr>
            <w:tcW w:w="5515" w:type="dxa"/>
            <w:shd w:val="clear" w:color="auto" w:fill="auto"/>
            <w:noWrap/>
            <w:vAlign w:val="bottom"/>
          </w:tcPr>
          <w:p w14:paraId="6E67ED0C" w14:textId="12192F38" w:rsidR="00E625AD" w:rsidRPr="00591BF4" w:rsidRDefault="004271E1" w:rsidP="00E625AD">
            <w:pPr>
              <w:suppressAutoHyphens w:val="0"/>
              <w:jc w:val="right"/>
              <w:rPr>
                <w:rFonts w:ascii="Calibri" w:hAnsi="Calibri" w:cs="Times New Roman"/>
                <w:b/>
                <w:color w:val="000000"/>
                <w:szCs w:val="24"/>
                <w:lang w:eastAsia="en-US"/>
              </w:rPr>
            </w:pPr>
            <w:r>
              <w:rPr>
                <w:rFonts w:ascii="Calibri" w:hAnsi="Calibri" w:cs="Times New Roman"/>
                <w:b/>
                <w:color w:val="000000"/>
                <w:szCs w:val="24"/>
                <w:lang w:eastAsia="en-US"/>
              </w:rPr>
              <w:t>$3,670,634</w:t>
            </w:r>
          </w:p>
        </w:tc>
      </w:tr>
      <w:tr w:rsidR="00E8380D" w:rsidRPr="00591BF4" w14:paraId="5A8AFF81" w14:textId="77777777" w:rsidTr="004271E1">
        <w:trPr>
          <w:trHeight w:val="330"/>
          <w:jc w:val="center"/>
        </w:trPr>
        <w:tc>
          <w:tcPr>
            <w:tcW w:w="2225" w:type="dxa"/>
            <w:shd w:val="clear" w:color="auto" w:fill="auto"/>
            <w:noWrap/>
            <w:vAlign w:val="center"/>
            <w:hideMark/>
          </w:tcPr>
          <w:p w14:paraId="5DEC7C07" w14:textId="40A1786D" w:rsidR="00E8380D" w:rsidRPr="00591BF4" w:rsidRDefault="00E8380D" w:rsidP="004A0897">
            <w:pPr>
              <w:suppressAutoHyphens w:val="0"/>
              <w:jc w:val="center"/>
              <w:rPr>
                <w:rFonts w:ascii="Calibri" w:hAnsi="Calibri" w:cs="Times New Roman"/>
                <w:color w:val="000000"/>
                <w:szCs w:val="24"/>
                <w:lang w:eastAsia="en-US"/>
              </w:rPr>
            </w:pPr>
            <w:r w:rsidRPr="00591BF4">
              <w:rPr>
                <w:rFonts w:ascii="Calibri" w:hAnsi="Calibri" w:cs="Times New Roman"/>
                <w:color w:val="000000"/>
                <w:szCs w:val="24"/>
                <w:lang w:eastAsia="en-US"/>
              </w:rPr>
              <w:t>2</w:t>
            </w:r>
            <w:r w:rsidR="004271E1">
              <w:rPr>
                <w:rFonts w:ascii="Calibri" w:hAnsi="Calibri" w:cs="Times New Roman"/>
                <w:color w:val="000000"/>
                <w:szCs w:val="24"/>
                <w:lang w:eastAsia="en-US"/>
              </w:rPr>
              <w:t>, 3, 4</w:t>
            </w:r>
          </w:p>
        </w:tc>
        <w:tc>
          <w:tcPr>
            <w:tcW w:w="5515" w:type="dxa"/>
            <w:shd w:val="clear" w:color="auto" w:fill="auto"/>
            <w:noWrap/>
            <w:vAlign w:val="bottom"/>
          </w:tcPr>
          <w:p w14:paraId="545EF933" w14:textId="3CB2C025" w:rsidR="00E8380D" w:rsidRPr="00591BF4" w:rsidRDefault="004271E1" w:rsidP="004A0897">
            <w:pPr>
              <w:suppressAutoHyphens w:val="0"/>
              <w:jc w:val="right"/>
              <w:rPr>
                <w:rFonts w:ascii="Calibri" w:hAnsi="Calibri" w:cs="Times New Roman"/>
                <w:b/>
                <w:color w:val="000000"/>
                <w:szCs w:val="24"/>
                <w:lang w:eastAsia="en-US"/>
              </w:rPr>
            </w:pPr>
            <w:r>
              <w:rPr>
                <w:rFonts w:ascii="Calibri" w:hAnsi="Calibri" w:cs="Times New Roman"/>
                <w:b/>
                <w:color w:val="000000"/>
                <w:szCs w:val="24"/>
                <w:lang w:eastAsia="en-US"/>
              </w:rPr>
              <w:t>$6,073,885</w:t>
            </w:r>
          </w:p>
        </w:tc>
      </w:tr>
      <w:tr w:rsidR="00E8380D" w:rsidRPr="00591BF4" w14:paraId="3DCA2D49" w14:textId="77777777" w:rsidTr="004271E1">
        <w:trPr>
          <w:trHeight w:val="330"/>
          <w:jc w:val="center"/>
        </w:trPr>
        <w:tc>
          <w:tcPr>
            <w:tcW w:w="2225" w:type="dxa"/>
            <w:shd w:val="clear" w:color="auto" w:fill="auto"/>
            <w:noWrap/>
            <w:vAlign w:val="center"/>
            <w:hideMark/>
          </w:tcPr>
          <w:p w14:paraId="2178D9DF" w14:textId="0705CA47" w:rsidR="00E8380D" w:rsidRPr="00591BF4" w:rsidRDefault="004271E1" w:rsidP="004A0897">
            <w:pPr>
              <w:suppressAutoHyphens w:val="0"/>
              <w:jc w:val="center"/>
              <w:rPr>
                <w:rFonts w:ascii="Calibri" w:hAnsi="Calibri" w:cs="Times New Roman"/>
                <w:color w:val="000000"/>
                <w:szCs w:val="24"/>
                <w:lang w:eastAsia="en-US"/>
              </w:rPr>
            </w:pPr>
            <w:r>
              <w:rPr>
                <w:rFonts w:ascii="Calibri" w:hAnsi="Calibri" w:cs="Times New Roman"/>
                <w:color w:val="000000"/>
                <w:szCs w:val="24"/>
                <w:lang w:eastAsia="en-US"/>
              </w:rPr>
              <w:t>5, 6, 8</w:t>
            </w:r>
          </w:p>
        </w:tc>
        <w:tc>
          <w:tcPr>
            <w:tcW w:w="5515" w:type="dxa"/>
            <w:shd w:val="clear" w:color="auto" w:fill="auto"/>
            <w:noWrap/>
            <w:vAlign w:val="bottom"/>
          </w:tcPr>
          <w:p w14:paraId="344B09F8" w14:textId="2886D73E" w:rsidR="00E8380D" w:rsidRPr="00591BF4" w:rsidRDefault="004271E1" w:rsidP="004A0897">
            <w:pPr>
              <w:suppressAutoHyphens w:val="0"/>
              <w:jc w:val="right"/>
              <w:rPr>
                <w:rFonts w:ascii="Calibri" w:hAnsi="Calibri" w:cs="Times New Roman"/>
                <w:b/>
                <w:color w:val="000000"/>
                <w:szCs w:val="24"/>
                <w:lang w:eastAsia="en-US"/>
              </w:rPr>
            </w:pPr>
            <w:r>
              <w:rPr>
                <w:rFonts w:ascii="Calibri" w:hAnsi="Calibri" w:cs="Times New Roman"/>
                <w:b/>
                <w:color w:val="000000"/>
                <w:szCs w:val="24"/>
                <w:lang w:eastAsia="en-US"/>
              </w:rPr>
              <w:t>$5,218,957</w:t>
            </w:r>
          </w:p>
        </w:tc>
      </w:tr>
      <w:tr w:rsidR="00E8380D" w:rsidRPr="00591BF4" w14:paraId="2418C573" w14:textId="77777777" w:rsidTr="004271E1">
        <w:trPr>
          <w:trHeight w:val="330"/>
          <w:jc w:val="center"/>
        </w:trPr>
        <w:tc>
          <w:tcPr>
            <w:tcW w:w="2225" w:type="dxa"/>
            <w:shd w:val="clear" w:color="auto" w:fill="auto"/>
            <w:noWrap/>
            <w:vAlign w:val="center"/>
            <w:hideMark/>
          </w:tcPr>
          <w:p w14:paraId="10381A38" w14:textId="08C23100" w:rsidR="00E8380D" w:rsidRPr="00591BF4" w:rsidRDefault="004271E1" w:rsidP="004A0897">
            <w:pPr>
              <w:suppressAutoHyphens w:val="0"/>
              <w:jc w:val="center"/>
              <w:rPr>
                <w:rFonts w:ascii="Calibri" w:hAnsi="Calibri" w:cs="Times New Roman"/>
                <w:color w:val="000000"/>
                <w:szCs w:val="24"/>
                <w:lang w:eastAsia="en-US"/>
              </w:rPr>
            </w:pPr>
            <w:r>
              <w:rPr>
                <w:rFonts w:ascii="Calibri" w:hAnsi="Calibri" w:cs="Times New Roman"/>
                <w:color w:val="000000"/>
                <w:szCs w:val="24"/>
                <w:lang w:eastAsia="en-US"/>
              </w:rPr>
              <w:t>9, 7, 10, 11</w:t>
            </w:r>
          </w:p>
        </w:tc>
        <w:tc>
          <w:tcPr>
            <w:tcW w:w="5515" w:type="dxa"/>
            <w:shd w:val="clear" w:color="auto" w:fill="auto"/>
            <w:noWrap/>
            <w:vAlign w:val="bottom"/>
          </w:tcPr>
          <w:p w14:paraId="5352A1DF" w14:textId="1652DEC8" w:rsidR="00E8380D" w:rsidRPr="00591BF4" w:rsidRDefault="004271E1" w:rsidP="004A0897">
            <w:pPr>
              <w:suppressAutoHyphens w:val="0"/>
              <w:jc w:val="right"/>
              <w:rPr>
                <w:rFonts w:ascii="Calibri" w:hAnsi="Calibri" w:cs="Times New Roman"/>
                <w:b/>
                <w:color w:val="000000"/>
                <w:szCs w:val="24"/>
                <w:lang w:eastAsia="en-US"/>
              </w:rPr>
            </w:pPr>
            <w:r>
              <w:rPr>
                <w:rFonts w:ascii="Calibri" w:hAnsi="Calibri" w:cs="Times New Roman"/>
                <w:b/>
                <w:color w:val="000000"/>
                <w:szCs w:val="24"/>
                <w:lang w:eastAsia="en-US"/>
              </w:rPr>
              <w:t>$5,191,318</w:t>
            </w:r>
          </w:p>
        </w:tc>
      </w:tr>
    </w:tbl>
    <w:p w14:paraId="7DF4302D" w14:textId="77777777" w:rsidR="00E8380D" w:rsidRPr="00591BF4" w:rsidRDefault="00E8380D" w:rsidP="00E8380D">
      <w:pPr>
        <w:rPr>
          <w:rFonts w:ascii="Calibri" w:hAnsi="Calibri" w:cs="Times New Roman"/>
          <w:b/>
          <w:szCs w:val="24"/>
        </w:rPr>
      </w:pPr>
    </w:p>
    <w:p w14:paraId="6C43F62D" w14:textId="77777777" w:rsidR="00671E31" w:rsidRPr="00671E31" w:rsidRDefault="00671E31" w:rsidP="00591BF4">
      <w:pPr>
        <w:rPr>
          <w:rFonts w:ascii="Calibri" w:hAnsi="Calibri" w:cs="Times New Roman"/>
          <w:szCs w:val="24"/>
        </w:rPr>
      </w:pPr>
    </w:p>
    <w:sectPr w:rsidR="00671E31" w:rsidRPr="00671E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2CE13" w14:textId="77777777" w:rsidR="006A07B7" w:rsidRDefault="006A07B7" w:rsidP="00A50533">
      <w:r>
        <w:separator/>
      </w:r>
    </w:p>
  </w:endnote>
  <w:endnote w:type="continuationSeparator" w:id="0">
    <w:p w14:paraId="07EAD1AE" w14:textId="77777777" w:rsidR="006A07B7" w:rsidRDefault="006A07B7" w:rsidP="00A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CAB9A" w14:textId="77777777" w:rsidR="006A07B7" w:rsidRDefault="006A07B7" w:rsidP="00A50533">
      <w:r>
        <w:separator/>
      </w:r>
    </w:p>
  </w:footnote>
  <w:footnote w:type="continuationSeparator" w:id="0">
    <w:p w14:paraId="6DB06ED5" w14:textId="77777777" w:rsidR="006A07B7" w:rsidRDefault="006A07B7" w:rsidP="00A50533">
      <w:r>
        <w:continuationSeparator/>
      </w:r>
    </w:p>
  </w:footnote>
  <w:footnote w:id="1">
    <w:p w14:paraId="16060203" w14:textId="734D45E9" w:rsidR="00A50533" w:rsidRPr="00A50533" w:rsidRDefault="00A50533" w:rsidP="00A50533">
      <w:pPr>
        <w:pStyle w:val="FootnoteText"/>
        <w:rPr>
          <w:rFonts w:ascii="Calibri" w:hAnsi="Calibri" w:cs="Calibri"/>
        </w:rPr>
      </w:pPr>
      <w:r w:rsidRPr="00A50533">
        <w:rPr>
          <w:rStyle w:val="FootnoteReference"/>
          <w:rFonts w:ascii="Calibri" w:hAnsi="Calibri" w:cs="Calibri"/>
        </w:rPr>
        <w:footnoteRef/>
      </w:r>
      <w:r w:rsidRPr="00A50533">
        <w:rPr>
          <w:rFonts w:ascii="Calibri" w:hAnsi="Calibri" w:cs="Calibri"/>
        </w:rPr>
        <w:t xml:space="preserve"> NHTF funds under this NOFA are subject to federal Commitment deadlines, and the Board may require a Contract Execution Deadline to enable the Department to meet these federal Commitments regardless of any other time period listed in the Texas Administrative Code.  Failure to meet that Contract Execution Deadline could result in the Applicant having the award reduced in whole or in part.</w:t>
      </w:r>
    </w:p>
  </w:footnote>
  <w:footnote w:id="2">
    <w:p w14:paraId="7F87FCF6" w14:textId="77777777" w:rsidR="0068319F" w:rsidRPr="0068319F" w:rsidRDefault="0068319F" w:rsidP="0068319F">
      <w:pPr>
        <w:rPr>
          <w:rFonts w:ascii="Calibri" w:hAnsi="Calibri" w:cs="Times New Roman"/>
          <w:sz w:val="22"/>
          <w:lang w:eastAsia="en-US"/>
        </w:rPr>
      </w:pPr>
      <w:r w:rsidRPr="0068319F">
        <w:rPr>
          <w:rStyle w:val="FootnoteReference"/>
          <w:rFonts w:ascii="Calibri" w:hAnsi="Calibri"/>
        </w:rPr>
        <w:footnoteRef/>
      </w:r>
      <w:r w:rsidRPr="0068319F">
        <w:rPr>
          <w:rFonts w:ascii="Calibri" w:hAnsi="Calibri"/>
          <w:sz w:val="20"/>
          <w:szCs w:val="20"/>
        </w:rPr>
        <w:t xml:space="preserve"> This total includes any other Multifamily Direct Loan Funds previously awarded to the Applicant by the Department for the Development, including any outstanding loan balances that will remain after the Direct Loan closing.</w:t>
      </w:r>
    </w:p>
    <w:p w14:paraId="1F005B56" w14:textId="77777777" w:rsidR="0068319F" w:rsidRPr="0068319F" w:rsidRDefault="0068319F" w:rsidP="0068319F">
      <w:pPr>
        <w:pStyle w:val="FootnoteText"/>
        <w:rPr>
          <w:rFonts w:ascii="Calibri" w:hAnsi="Calibri"/>
        </w:rPr>
      </w:pPr>
    </w:p>
  </w:footnote>
  <w:footnote w:id="3">
    <w:p w14:paraId="69507150" w14:textId="50EC3B1C" w:rsidR="00054F70" w:rsidRDefault="00054F70" w:rsidP="00054F70">
      <w:pPr>
        <w:pStyle w:val="FootnoteText"/>
      </w:pPr>
      <w:r>
        <w:rPr>
          <w:rStyle w:val="FootnoteReference"/>
        </w:rPr>
        <w:footnoteRef/>
      </w:r>
      <w:r>
        <w:t xml:space="preserve"> If these limits are updated prior to expiration of this NOFA, the Department will provide notice via its website and revise the NOFA accordingly, and then will accept Applications based on the updated limits.  Applications pending at the time of such revision will be given opportunity to revise their Application without impact to Application Acceptance Date. These limits are inclusive of any federal fund sources in the Development, as applicable.</w:t>
      </w:r>
    </w:p>
  </w:footnote>
  <w:footnote w:id="4">
    <w:p w14:paraId="6BBCB05B" w14:textId="76800117" w:rsidR="00437D12" w:rsidRDefault="00437D12" w:rsidP="00437D12">
      <w:pPr>
        <w:pStyle w:val="FootnoteText"/>
      </w:pPr>
      <w:r>
        <w:rPr>
          <w:rStyle w:val="FootnoteReference"/>
        </w:rPr>
        <w:footnoteRef/>
      </w:r>
      <w:r>
        <w:t xml:space="preserve"> </w:t>
      </w:r>
      <w:r w:rsidR="00054F70">
        <w:t>If t</w:t>
      </w:r>
      <w:r>
        <w:t>hese limits are updated prior to expiration of this NOFA, the Department will provide notice via its website and revise the NOFA accordingly, and then will accept Applications based on the updated limits.  Applications pending at the time of such revision will be given opportunity to revise their Application without impact to Application Acceptance Date. These limits are inclusive of any federal fund sources in the Development, as applicable.</w:t>
      </w:r>
    </w:p>
  </w:footnote>
  <w:footnote w:id="5">
    <w:p w14:paraId="40C68327" w14:textId="77777777" w:rsidR="00F83E4D" w:rsidRDefault="00F83E4D" w:rsidP="00F83E4D">
      <w:pPr>
        <w:pStyle w:val="FootnoteText"/>
      </w:pPr>
      <w:r>
        <w:rPr>
          <w:rStyle w:val="FootnoteReference"/>
        </w:rPr>
        <w:footnoteRef/>
      </w:r>
      <w:r>
        <w:t xml:space="preserve"> However, the Applicant will not be given an Application Acceptance Date earlier than what could have been applied for under this NOFA or other Department NOFA.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3D4E924"/>
    <w:name w:val="WW8Num9"/>
    <w:lvl w:ilvl="0">
      <w:start w:val="1"/>
      <w:numFmt w:val="lowerLetter"/>
      <w:lvlText w:val="%1."/>
      <w:lvlJc w:val="left"/>
      <w:pPr>
        <w:tabs>
          <w:tab w:val="num" w:pos="360"/>
        </w:tabs>
        <w:ind w:left="1080" w:hanging="360"/>
      </w:pPr>
      <w:rPr>
        <w:rFonts w:asciiTheme="minorHAnsi" w:hAnsiTheme="minorHAnsi" w:cs="Times New Roman" w:hint="default"/>
        <w:b/>
        <w:szCs w:val="24"/>
      </w:rPr>
    </w:lvl>
    <w:lvl w:ilvl="1">
      <w:start w:val="1"/>
      <w:numFmt w:val="lowerLetter"/>
      <w:lvlText w:val="%2."/>
      <w:lvlJc w:val="left"/>
      <w:pPr>
        <w:tabs>
          <w:tab w:val="num" w:pos="360"/>
        </w:tabs>
        <w:ind w:left="900" w:hanging="360"/>
      </w:pPr>
    </w:lvl>
    <w:lvl w:ilvl="2">
      <w:start w:val="1"/>
      <w:numFmt w:val="lowerRoman"/>
      <w:lvlText w:val="%3."/>
      <w:lvlJc w:val="right"/>
      <w:pPr>
        <w:tabs>
          <w:tab w:val="num" w:pos="360"/>
        </w:tabs>
        <w:ind w:left="1620" w:hanging="180"/>
      </w:pPr>
      <w:rPr>
        <w:b w:val="0"/>
      </w:rPr>
    </w:lvl>
    <w:lvl w:ilvl="3">
      <w:start w:val="1"/>
      <w:numFmt w:val="decimal"/>
      <w:lvlText w:val="%4."/>
      <w:lvlJc w:val="left"/>
      <w:pPr>
        <w:tabs>
          <w:tab w:val="num" w:pos="360"/>
        </w:tabs>
        <w:ind w:left="2340" w:hanging="360"/>
      </w:pPr>
      <w:rPr>
        <w:b w:val="0"/>
      </w:rPr>
    </w:lvl>
    <w:lvl w:ilvl="4">
      <w:start w:val="1"/>
      <w:numFmt w:val="lowerLetter"/>
      <w:lvlText w:val="%5."/>
      <w:lvlJc w:val="left"/>
      <w:pPr>
        <w:tabs>
          <w:tab w:val="num" w:pos="360"/>
        </w:tabs>
        <w:ind w:left="3060" w:hanging="360"/>
      </w:pPr>
    </w:lvl>
    <w:lvl w:ilvl="5">
      <w:start w:val="1"/>
      <w:numFmt w:val="lowerRoman"/>
      <w:lvlText w:val="%6."/>
      <w:lvlJc w:val="right"/>
      <w:pPr>
        <w:tabs>
          <w:tab w:val="num" w:pos="360"/>
        </w:tabs>
        <w:ind w:left="3780" w:hanging="180"/>
      </w:pPr>
    </w:lvl>
    <w:lvl w:ilvl="6">
      <w:start w:val="1"/>
      <w:numFmt w:val="decimal"/>
      <w:lvlText w:val="%7."/>
      <w:lvlJc w:val="left"/>
      <w:pPr>
        <w:tabs>
          <w:tab w:val="num" w:pos="360"/>
        </w:tabs>
        <w:ind w:left="4500" w:hanging="360"/>
      </w:pPr>
    </w:lvl>
    <w:lvl w:ilvl="7">
      <w:start w:val="1"/>
      <w:numFmt w:val="lowerLetter"/>
      <w:lvlText w:val="%8."/>
      <w:lvlJc w:val="left"/>
      <w:pPr>
        <w:tabs>
          <w:tab w:val="num" w:pos="360"/>
        </w:tabs>
        <w:ind w:left="5220" w:hanging="360"/>
      </w:pPr>
    </w:lvl>
    <w:lvl w:ilvl="8">
      <w:start w:val="1"/>
      <w:numFmt w:val="lowerRoman"/>
      <w:lvlText w:val="%9."/>
      <w:lvlJc w:val="right"/>
      <w:pPr>
        <w:tabs>
          <w:tab w:val="num" w:pos="360"/>
        </w:tabs>
        <w:ind w:left="5940" w:hanging="180"/>
      </w:pPr>
    </w:lvl>
  </w:abstractNum>
  <w:abstractNum w:abstractNumId="2" w15:restartNumberingAfterBreak="0">
    <w:nsid w:val="00000004"/>
    <w:multiLevelType w:val="multilevel"/>
    <w:tmpl w:val="5E4E3218"/>
    <w:lvl w:ilvl="0">
      <w:start w:val="1"/>
      <w:numFmt w:val="decimal"/>
      <w:lvlText w:val="%1)"/>
      <w:lvlJc w:val="left"/>
      <w:pPr>
        <w:tabs>
          <w:tab w:val="num" w:pos="0"/>
        </w:tabs>
        <w:ind w:left="360" w:hanging="360"/>
      </w:pPr>
      <w:rPr>
        <w:rFonts w:hint="default"/>
        <w:b/>
        <w:szCs w:val="24"/>
      </w:rPr>
    </w:lvl>
    <w:lvl w:ilvl="1">
      <w:start w:val="1"/>
      <w:numFmt w:val="lowerLetter"/>
      <w:lvlText w:val="%2."/>
      <w:lvlJc w:val="left"/>
      <w:pPr>
        <w:tabs>
          <w:tab w:val="num" w:pos="0"/>
        </w:tabs>
        <w:ind w:left="1080" w:hanging="360"/>
      </w:pPr>
      <w:rPr>
        <w:rFonts w:asciiTheme="minorHAnsi" w:hAnsiTheme="minorHAnsi" w:cs="Times New Roman" w:hint="default"/>
        <w:b/>
        <w:i w:val="0"/>
        <w:szCs w:val="24"/>
        <w:u w:val="none"/>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 w15:restartNumberingAfterBreak="0">
    <w:nsid w:val="04015371"/>
    <w:multiLevelType w:val="multilevel"/>
    <w:tmpl w:val="6A6AC82C"/>
    <w:lvl w:ilvl="0">
      <w:start w:val="1"/>
      <w:numFmt w:val="decimal"/>
      <w:lvlText w:val="%1)"/>
      <w:lvlJc w:val="left"/>
      <w:pPr>
        <w:tabs>
          <w:tab w:val="num" w:pos="0"/>
        </w:tabs>
        <w:ind w:left="360" w:hanging="360"/>
      </w:pPr>
      <w:rPr>
        <w:rFonts w:hint="default"/>
        <w:b/>
        <w:szCs w:val="24"/>
      </w:rPr>
    </w:lvl>
    <w:lvl w:ilvl="1">
      <w:start w:val="1"/>
      <w:numFmt w:val="lowerLetter"/>
      <w:lvlText w:val="%2."/>
      <w:lvlJc w:val="left"/>
      <w:pPr>
        <w:tabs>
          <w:tab w:val="num" w:pos="0"/>
        </w:tabs>
        <w:ind w:left="1080" w:hanging="360"/>
      </w:pPr>
      <w:rPr>
        <w:rFonts w:asciiTheme="minorHAnsi" w:hAnsiTheme="minorHAnsi" w:cs="Times New Roman" w:hint="default"/>
        <w:b/>
        <w:i w:val="0"/>
        <w:szCs w:val="24"/>
        <w:u w:val="none"/>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 w15:restartNumberingAfterBreak="0">
    <w:nsid w:val="07E51CB3"/>
    <w:multiLevelType w:val="hybridMultilevel"/>
    <w:tmpl w:val="490E1C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2B462B"/>
    <w:multiLevelType w:val="hybridMultilevel"/>
    <w:tmpl w:val="A6826886"/>
    <w:lvl w:ilvl="0" w:tplc="38E050C8">
      <w:start w:val="1"/>
      <w:numFmt w:val="decimal"/>
      <w:lvlText w:val="(%1)"/>
      <w:lvlJc w:val="left"/>
      <w:pPr>
        <w:ind w:left="720" w:hanging="360"/>
      </w:pPr>
      <w:rPr>
        <w:rFonts w:hint="default"/>
      </w:rPr>
    </w:lvl>
    <w:lvl w:ilvl="1" w:tplc="4E8A61D0">
      <w:start w:val="1"/>
      <w:numFmt w:val="lowerLetter"/>
      <w:lvlText w:val="%2."/>
      <w:lvlJc w:val="left"/>
      <w:pPr>
        <w:ind w:left="1440" w:hanging="360"/>
      </w:pPr>
      <w:rPr>
        <w:b/>
      </w:rPr>
    </w:lvl>
    <w:lvl w:ilvl="2" w:tplc="C28CEF66">
      <w:start w:val="1"/>
      <w:numFmt w:val="lowerLetter"/>
      <w:lvlText w:val="%3."/>
      <w:lvlJc w:val="left"/>
      <w:pPr>
        <w:ind w:left="2160" w:hanging="18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A625D"/>
    <w:multiLevelType w:val="hybridMultilevel"/>
    <w:tmpl w:val="CAEAF272"/>
    <w:lvl w:ilvl="0" w:tplc="602CF83C">
      <w:start w:val="2"/>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F5910"/>
    <w:multiLevelType w:val="multilevel"/>
    <w:tmpl w:val="E3D4E924"/>
    <w:lvl w:ilvl="0">
      <w:start w:val="1"/>
      <w:numFmt w:val="lowerLetter"/>
      <w:lvlText w:val="%1."/>
      <w:lvlJc w:val="left"/>
      <w:pPr>
        <w:tabs>
          <w:tab w:val="num" w:pos="0"/>
        </w:tabs>
        <w:ind w:left="720" w:hanging="360"/>
      </w:pPr>
      <w:rPr>
        <w:rFonts w:asciiTheme="minorHAnsi" w:hAnsiTheme="minorHAnsi" w:cs="Times New Roman" w:hint="default"/>
        <w:b/>
        <w:szCs w:val="24"/>
      </w:rPr>
    </w:lvl>
    <w:lvl w:ilvl="1">
      <w:start w:val="1"/>
      <w:numFmt w:val="lowerLetter"/>
      <w:lvlText w:val="%2."/>
      <w:lvlJc w:val="left"/>
      <w:pPr>
        <w:tabs>
          <w:tab w:val="num" w:pos="0"/>
        </w:tabs>
        <w:ind w:left="540" w:hanging="360"/>
      </w:pPr>
    </w:lvl>
    <w:lvl w:ilvl="2">
      <w:start w:val="1"/>
      <w:numFmt w:val="lowerRoman"/>
      <w:lvlText w:val="%3."/>
      <w:lvlJc w:val="right"/>
      <w:pPr>
        <w:tabs>
          <w:tab w:val="num" w:pos="0"/>
        </w:tabs>
        <w:ind w:left="1260" w:hanging="180"/>
      </w:pPr>
      <w:rPr>
        <w:b w:val="0"/>
      </w:rPr>
    </w:lvl>
    <w:lvl w:ilvl="3">
      <w:start w:val="1"/>
      <w:numFmt w:val="decimal"/>
      <w:lvlText w:val="%4."/>
      <w:lvlJc w:val="left"/>
      <w:pPr>
        <w:tabs>
          <w:tab w:val="num" w:pos="0"/>
        </w:tabs>
        <w:ind w:left="1980" w:hanging="360"/>
      </w:pPr>
      <w:rPr>
        <w:b w:val="0"/>
      </w:rPr>
    </w:lvl>
    <w:lvl w:ilvl="4">
      <w:start w:val="1"/>
      <w:numFmt w:val="lowerLetter"/>
      <w:lvlText w:val="%5."/>
      <w:lvlJc w:val="left"/>
      <w:pPr>
        <w:tabs>
          <w:tab w:val="num" w:pos="0"/>
        </w:tabs>
        <w:ind w:left="2700" w:hanging="360"/>
      </w:pPr>
    </w:lvl>
    <w:lvl w:ilvl="5">
      <w:start w:val="1"/>
      <w:numFmt w:val="lowerRoman"/>
      <w:lvlText w:val="%6."/>
      <w:lvlJc w:val="right"/>
      <w:pPr>
        <w:tabs>
          <w:tab w:val="num" w:pos="0"/>
        </w:tabs>
        <w:ind w:left="3420" w:hanging="180"/>
      </w:pPr>
    </w:lvl>
    <w:lvl w:ilvl="6">
      <w:start w:val="1"/>
      <w:numFmt w:val="decimal"/>
      <w:lvlText w:val="%7."/>
      <w:lvlJc w:val="left"/>
      <w:pPr>
        <w:tabs>
          <w:tab w:val="num" w:pos="0"/>
        </w:tabs>
        <w:ind w:left="4140" w:hanging="360"/>
      </w:pPr>
    </w:lvl>
    <w:lvl w:ilvl="7">
      <w:start w:val="1"/>
      <w:numFmt w:val="lowerLetter"/>
      <w:lvlText w:val="%8."/>
      <w:lvlJc w:val="left"/>
      <w:pPr>
        <w:tabs>
          <w:tab w:val="num" w:pos="0"/>
        </w:tabs>
        <w:ind w:left="4860" w:hanging="360"/>
      </w:pPr>
    </w:lvl>
    <w:lvl w:ilvl="8">
      <w:start w:val="1"/>
      <w:numFmt w:val="lowerRoman"/>
      <w:lvlText w:val="%9."/>
      <w:lvlJc w:val="right"/>
      <w:pPr>
        <w:tabs>
          <w:tab w:val="num" w:pos="0"/>
        </w:tabs>
        <w:ind w:left="5580" w:hanging="180"/>
      </w:pPr>
    </w:lvl>
  </w:abstractNum>
  <w:abstractNum w:abstractNumId="8" w15:restartNumberingAfterBreak="0">
    <w:nsid w:val="6E6B42AD"/>
    <w:multiLevelType w:val="hybridMultilevel"/>
    <w:tmpl w:val="4F3AEF1A"/>
    <w:lvl w:ilvl="0" w:tplc="E30A8906">
      <w:start w:val="1"/>
      <w:numFmt w:val="lowerLetter"/>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7"/>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BA"/>
    <w:rsid w:val="000112C6"/>
    <w:rsid w:val="00022A65"/>
    <w:rsid w:val="0003077E"/>
    <w:rsid w:val="000324DF"/>
    <w:rsid w:val="0003518A"/>
    <w:rsid w:val="00042DC8"/>
    <w:rsid w:val="000501CA"/>
    <w:rsid w:val="0005091F"/>
    <w:rsid w:val="00051DA0"/>
    <w:rsid w:val="00054F70"/>
    <w:rsid w:val="0006231B"/>
    <w:rsid w:val="00066B75"/>
    <w:rsid w:val="00082362"/>
    <w:rsid w:val="000A6459"/>
    <w:rsid w:val="000C4C3E"/>
    <w:rsid w:val="00106F81"/>
    <w:rsid w:val="00121D87"/>
    <w:rsid w:val="00126954"/>
    <w:rsid w:val="00144A7F"/>
    <w:rsid w:val="00162FC7"/>
    <w:rsid w:val="00170C17"/>
    <w:rsid w:val="001D22DC"/>
    <w:rsid w:val="001F5E55"/>
    <w:rsid w:val="00220F4F"/>
    <w:rsid w:val="002461A2"/>
    <w:rsid w:val="00250816"/>
    <w:rsid w:val="00250F17"/>
    <w:rsid w:val="0026743A"/>
    <w:rsid w:val="002724A1"/>
    <w:rsid w:val="00290E58"/>
    <w:rsid w:val="002930D9"/>
    <w:rsid w:val="00297624"/>
    <w:rsid w:val="002A7D43"/>
    <w:rsid w:val="002E36D1"/>
    <w:rsid w:val="002E6B0B"/>
    <w:rsid w:val="002F30D8"/>
    <w:rsid w:val="00304094"/>
    <w:rsid w:val="00314BB7"/>
    <w:rsid w:val="00355A31"/>
    <w:rsid w:val="00372BD0"/>
    <w:rsid w:val="00373072"/>
    <w:rsid w:val="00373E6F"/>
    <w:rsid w:val="00390FB4"/>
    <w:rsid w:val="0039419E"/>
    <w:rsid w:val="003D2726"/>
    <w:rsid w:val="003D35CD"/>
    <w:rsid w:val="003D5404"/>
    <w:rsid w:val="00403232"/>
    <w:rsid w:val="004271E1"/>
    <w:rsid w:val="00437D12"/>
    <w:rsid w:val="00463FDD"/>
    <w:rsid w:val="004959D0"/>
    <w:rsid w:val="004C468D"/>
    <w:rsid w:val="00503209"/>
    <w:rsid w:val="00517F8B"/>
    <w:rsid w:val="00526E6A"/>
    <w:rsid w:val="00527A89"/>
    <w:rsid w:val="00531A61"/>
    <w:rsid w:val="00553C83"/>
    <w:rsid w:val="00585D8B"/>
    <w:rsid w:val="00591BF4"/>
    <w:rsid w:val="005946C2"/>
    <w:rsid w:val="005C5935"/>
    <w:rsid w:val="006301FF"/>
    <w:rsid w:val="00645156"/>
    <w:rsid w:val="00671E31"/>
    <w:rsid w:val="00673E40"/>
    <w:rsid w:val="0068319F"/>
    <w:rsid w:val="00691D2B"/>
    <w:rsid w:val="006A07B7"/>
    <w:rsid w:val="006B4DF5"/>
    <w:rsid w:val="006F4A17"/>
    <w:rsid w:val="00705382"/>
    <w:rsid w:val="007123E2"/>
    <w:rsid w:val="00742DD3"/>
    <w:rsid w:val="00761D74"/>
    <w:rsid w:val="00765782"/>
    <w:rsid w:val="00791EE6"/>
    <w:rsid w:val="0079665D"/>
    <w:rsid w:val="007B0FF0"/>
    <w:rsid w:val="007C01AF"/>
    <w:rsid w:val="007D5B2F"/>
    <w:rsid w:val="007D6A42"/>
    <w:rsid w:val="007E052B"/>
    <w:rsid w:val="007F2A26"/>
    <w:rsid w:val="008015D6"/>
    <w:rsid w:val="00803BC7"/>
    <w:rsid w:val="00812373"/>
    <w:rsid w:val="00817A1F"/>
    <w:rsid w:val="00842264"/>
    <w:rsid w:val="008706FB"/>
    <w:rsid w:val="008C3311"/>
    <w:rsid w:val="008C3925"/>
    <w:rsid w:val="008C6B6B"/>
    <w:rsid w:val="008F2BB5"/>
    <w:rsid w:val="00915537"/>
    <w:rsid w:val="009272D6"/>
    <w:rsid w:val="00931A23"/>
    <w:rsid w:val="00931E83"/>
    <w:rsid w:val="00947F4C"/>
    <w:rsid w:val="0095073E"/>
    <w:rsid w:val="00950B5F"/>
    <w:rsid w:val="00950C49"/>
    <w:rsid w:val="009665ED"/>
    <w:rsid w:val="009C2AF3"/>
    <w:rsid w:val="00A10C50"/>
    <w:rsid w:val="00A26831"/>
    <w:rsid w:val="00A423D0"/>
    <w:rsid w:val="00A50533"/>
    <w:rsid w:val="00A56EDE"/>
    <w:rsid w:val="00A76F87"/>
    <w:rsid w:val="00A872A2"/>
    <w:rsid w:val="00A943A7"/>
    <w:rsid w:val="00AB4965"/>
    <w:rsid w:val="00AD01AC"/>
    <w:rsid w:val="00AD749D"/>
    <w:rsid w:val="00B07A5E"/>
    <w:rsid w:val="00B22819"/>
    <w:rsid w:val="00B3670B"/>
    <w:rsid w:val="00B41A28"/>
    <w:rsid w:val="00B44A16"/>
    <w:rsid w:val="00B737C8"/>
    <w:rsid w:val="00BA6873"/>
    <w:rsid w:val="00BB3579"/>
    <w:rsid w:val="00BD48AF"/>
    <w:rsid w:val="00BE615E"/>
    <w:rsid w:val="00BF1DF1"/>
    <w:rsid w:val="00C01DBA"/>
    <w:rsid w:val="00C10251"/>
    <w:rsid w:val="00C356EB"/>
    <w:rsid w:val="00C42A4A"/>
    <w:rsid w:val="00C6721E"/>
    <w:rsid w:val="00C67BD9"/>
    <w:rsid w:val="00C75FA5"/>
    <w:rsid w:val="00C808D0"/>
    <w:rsid w:val="00CB2E77"/>
    <w:rsid w:val="00D00706"/>
    <w:rsid w:val="00D12D63"/>
    <w:rsid w:val="00D178C7"/>
    <w:rsid w:val="00D50D0E"/>
    <w:rsid w:val="00D51A94"/>
    <w:rsid w:val="00D51EF2"/>
    <w:rsid w:val="00D66100"/>
    <w:rsid w:val="00D9338A"/>
    <w:rsid w:val="00DD2F79"/>
    <w:rsid w:val="00DD5090"/>
    <w:rsid w:val="00E118BC"/>
    <w:rsid w:val="00E15DEB"/>
    <w:rsid w:val="00E31500"/>
    <w:rsid w:val="00E50028"/>
    <w:rsid w:val="00E50B7A"/>
    <w:rsid w:val="00E574B4"/>
    <w:rsid w:val="00E60948"/>
    <w:rsid w:val="00E625AD"/>
    <w:rsid w:val="00E64F08"/>
    <w:rsid w:val="00E8304E"/>
    <w:rsid w:val="00E8380D"/>
    <w:rsid w:val="00E83E8F"/>
    <w:rsid w:val="00E91274"/>
    <w:rsid w:val="00E962E3"/>
    <w:rsid w:val="00F1581A"/>
    <w:rsid w:val="00F41DEA"/>
    <w:rsid w:val="00F53460"/>
    <w:rsid w:val="00F540E7"/>
    <w:rsid w:val="00F546AB"/>
    <w:rsid w:val="00F54F28"/>
    <w:rsid w:val="00F56800"/>
    <w:rsid w:val="00F83E4D"/>
    <w:rsid w:val="00F93BF3"/>
    <w:rsid w:val="00FC1A09"/>
    <w:rsid w:val="00FC3C60"/>
    <w:rsid w:val="00FC4421"/>
    <w:rsid w:val="00FC4AF2"/>
    <w:rsid w:val="00FD1BB6"/>
    <w:rsid w:val="00FD462F"/>
    <w:rsid w:val="00FE024A"/>
    <w:rsid w:val="00FE1A09"/>
    <w:rsid w:val="00FF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4D25"/>
  <w15:chartTrackingRefBased/>
  <w15:docId w15:val="{CF4B9651-6EDB-466F-BEE0-99B16F3E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59"/>
    <w:pPr>
      <w:suppressAutoHyphens/>
      <w:spacing w:after="0" w:line="240" w:lineRule="auto"/>
      <w:jc w:val="both"/>
    </w:pPr>
    <w:rPr>
      <w:rFonts w:ascii="Garamond" w:eastAsia="Times New Roman" w:hAnsi="Garamond" w:cs="Garamond"/>
      <w:sz w:val="24"/>
      <w:lang w:eastAsia="zh-CN"/>
    </w:rPr>
  </w:style>
  <w:style w:type="paragraph" w:styleId="Heading1">
    <w:name w:val="heading 1"/>
    <w:basedOn w:val="Normal"/>
    <w:next w:val="Normal"/>
    <w:link w:val="Heading1Char"/>
    <w:qFormat/>
    <w:rsid w:val="000A6459"/>
    <w:pPr>
      <w:keepNext/>
      <w:numPr>
        <w:numId w:val="1"/>
      </w:numPr>
      <w:spacing w:before="60" w:after="60"/>
      <w:jc w:val="center"/>
      <w:outlineLvl w:val="0"/>
    </w:pPr>
    <w:rPr>
      <w:rFonts w:cs="Arial"/>
      <w:b/>
      <w:bCs/>
      <w:kern w:val="1"/>
      <w:sz w:val="32"/>
      <w:szCs w:val="32"/>
    </w:rPr>
  </w:style>
  <w:style w:type="paragraph" w:styleId="Heading2">
    <w:name w:val="heading 2"/>
    <w:basedOn w:val="Normal"/>
    <w:next w:val="Normal"/>
    <w:link w:val="Heading2Char"/>
    <w:qFormat/>
    <w:rsid w:val="000A6459"/>
    <w:pPr>
      <w:keepNext/>
      <w:numPr>
        <w:ilvl w:val="1"/>
        <w:numId w:val="1"/>
      </w:numPr>
      <w:jc w:val="center"/>
      <w:outlineLvl w:val="1"/>
    </w:pPr>
    <w:rPr>
      <w:rFonts w:cs="Arial"/>
      <w:b/>
      <w:bCs/>
      <w:iCs/>
      <w:szCs w:val="28"/>
    </w:rPr>
  </w:style>
  <w:style w:type="paragraph" w:styleId="Heading3">
    <w:name w:val="heading 3"/>
    <w:basedOn w:val="Normal"/>
    <w:next w:val="Normal"/>
    <w:link w:val="Heading3Char"/>
    <w:qFormat/>
    <w:rsid w:val="000A6459"/>
    <w:pPr>
      <w:keepNext/>
      <w:numPr>
        <w:ilvl w:val="2"/>
        <w:numId w:val="1"/>
      </w:numPr>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6459"/>
    <w:rPr>
      <w:rFonts w:ascii="Garamond" w:eastAsia="Times New Roman" w:hAnsi="Garamond" w:cs="Arial"/>
      <w:b/>
      <w:bCs/>
      <w:kern w:val="1"/>
      <w:sz w:val="32"/>
      <w:szCs w:val="32"/>
      <w:lang w:eastAsia="zh-CN"/>
    </w:rPr>
  </w:style>
  <w:style w:type="character" w:customStyle="1" w:styleId="Heading2Char">
    <w:name w:val="Heading 2 Char"/>
    <w:basedOn w:val="DefaultParagraphFont"/>
    <w:link w:val="Heading2"/>
    <w:rsid w:val="000A6459"/>
    <w:rPr>
      <w:rFonts w:ascii="Garamond" w:eastAsia="Times New Roman" w:hAnsi="Garamond" w:cs="Arial"/>
      <w:b/>
      <w:bCs/>
      <w:iCs/>
      <w:sz w:val="24"/>
      <w:szCs w:val="28"/>
      <w:lang w:eastAsia="zh-CN"/>
    </w:rPr>
  </w:style>
  <w:style w:type="character" w:customStyle="1" w:styleId="Heading3Char">
    <w:name w:val="Heading 3 Char"/>
    <w:basedOn w:val="DefaultParagraphFont"/>
    <w:link w:val="Heading3"/>
    <w:rsid w:val="000A6459"/>
    <w:rPr>
      <w:rFonts w:ascii="Garamond" w:eastAsia="Times New Roman" w:hAnsi="Garamond" w:cs="Arial"/>
      <w:b/>
      <w:bCs/>
      <w:sz w:val="24"/>
      <w:szCs w:val="26"/>
      <w:lang w:eastAsia="zh-CN"/>
    </w:rPr>
  </w:style>
  <w:style w:type="character" w:styleId="CommentReference">
    <w:name w:val="annotation reference"/>
    <w:uiPriority w:val="99"/>
    <w:rsid w:val="000A6459"/>
    <w:rPr>
      <w:sz w:val="16"/>
      <w:szCs w:val="16"/>
    </w:rPr>
  </w:style>
  <w:style w:type="paragraph" w:styleId="CommentText">
    <w:name w:val="annotation text"/>
    <w:basedOn w:val="Normal"/>
    <w:link w:val="CommentTextChar"/>
    <w:rsid w:val="000A6459"/>
    <w:rPr>
      <w:sz w:val="20"/>
      <w:szCs w:val="20"/>
    </w:rPr>
  </w:style>
  <w:style w:type="character" w:customStyle="1" w:styleId="CommentTextChar">
    <w:name w:val="Comment Text Char"/>
    <w:basedOn w:val="DefaultParagraphFont"/>
    <w:link w:val="CommentText"/>
    <w:rsid w:val="000A6459"/>
    <w:rPr>
      <w:rFonts w:ascii="Garamond" w:eastAsia="Times New Roman" w:hAnsi="Garamond" w:cs="Garamond"/>
      <w:sz w:val="20"/>
      <w:szCs w:val="20"/>
      <w:lang w:eastAsia="zh-CN"/>
    </w:rPr>
  </w:style>
  <w:style w:type="paragraph" w:styleId="ListParagraph">
    <w:name w:val="List Paragraph"/>
    <w:basedOn w:val="Normal"/>
    <w:uiPriority w:val="34"/>
    <w:qFormat/>
    <w:rsid w:val="000A6459"/>
    <w:pPr>
      <w:ind w:left="720"/>
    </w:pPr>
  </w:style>
  <w:style w:type="paragraph" w:styleId="BalloonText">
    <w:name w:val="Balloon Text"/>
    <w:basedOn w:val="Normal"/>
    <w:link w:val="BalloonTextChar"/>
    <w:uiPriority w:val="99"/>
    <w:semiHidden/>
    <w:unhideWhenUsed/>
    <w:rsid w:val="000A6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459"/>
    <w:rPr>
      <w:rFonts w:ascii="Segoe UI" w:eastAsia="Times New Roman" w:hAnsi="Segoe UI" w:cs="Segoe UI"/>
      <w:sz w:val="18"/>
      <w:szCs w:val="18"/>
      <w:lang w:eastAsia="zh-CN"/>
    </w:rPr>
  </w:style>
  <w:style w:type="paragraph" w:styleId="FootnoteText">
    <w:name w:val="footnote text"/>
    <w:basedOn w:val="Normal"/>
    <w:link w:val="FootnoteTextChar"/>
    <w:rsid w:val="00A50533"/>
    <w:rPr>
      <w:sz w:val="20"/>
      <w:szCs w:val="20"/>
    </w:rPr>
  </w:style>
  <w:style w:type="character" w:customStyle="1" w:styleId="FootnoteTextChar">
    <w:name w:val="Footnote Text Char"/>
    <w:basedOn w:val="DefaultParagraphFont"/>
    <w:link w:val="FootnoteText"/>
    <w:rsid w:val="00A50533"/>
    <w:rPr>
      <w:rFonts w:ascii="Garamond" w:eastAsia="Times New Roman" w:hAnsi="Garamond" w:cs="Garamond"/>
      <w:sz w:val="20"/>
      <w:szCs w:val="20"/>
      <w:lang w:eastAsia="zh-CN"/>
    </w:rPr>
  </w:style>
  <w:style w:type="character" w:styleId="FootnoteReference">
    <w:name w:val="footnote reference"/>
    <w:uiPriority w:val="99"/>
    <w:semiHidden/>
    <w:unhideWhenUsed/>
    <w:rsid w:val="00A50533"/>
    <w:rPr>
      <w:vertAlign w:val="superscript"/>
    </w:rPr>
  </w:style>
  <w:style w:type="character" w:styleId="Hyperlink">
    <w:name w:val="Hyperlink"/>
    <w:basedOn w:val="DefaultParagraphFont"/>
    <w:uiPriority w:val="99"/>
    <w:unhideWhenUsed/>
    <w:rsid w:val="0068319F"/>
    <w:rPr>
      <w:color w:val="0563C1" w:themeColor="hyperlink"/>
      <w:u w:val="single"/>
    </w:rPr>
  </w:style>
  <w:style w:type="paragraph" w:styleId="Header">
    <w:name w:val="header"/>
    <w:basedOn w:val="Normal"/>
    <w:link w:val="HeaderChar"/>
    <w:uiPriority w:val="99"/>
    <w:unhideWhenUsed/>
    <w:rsid w:val="00E8380D"/>
    <w:pPr>
      <w:tabs>
        <w:tab w:val="center" w:pos="4680"/>
        <w:tab w:val="right" w:pos="9360"/>
      </w:tabs>
    </w:pPr>
  </w:style>
  <w:style w:type="character" w:customStyle="1" w:styleId="HeaderChar">
    <w:name w:val="Header Char"/>
    <w:basedOn w:val="DefaultParagraphFont"/>
    <w:link w:val="Header"/>
    <w:uiPriority w:val="99"/>
    <w:rsid w:val="00E8380D"/>
    <w:rPr>
      <w:rFonts w:ascii="Garamond" w:eastAsia="Times New Roman" w:hAnsi="Garamond" w:cs="Garamond"/>
      <w:sz w:val="24"/>
      <w:lang w:eastAsia="zh-CN"/>
    </w:rPr>
  </w:style>
  <w:style w:type="paragraph" w:styleId="Footer">
    <w:name w:val="footer"/>
    <w:basedOn w:val="Normal"/>
    <w:link w:val="FooterChar"/>
    <w:uiPriority w:val="99"/>
    <w:unhideWhenUsed/>
    <w:rsid w:val="00E8380D"/>
    <w:pPr>
      <w:tabs>
        <w:tab w:val="center" w:pos="4680"/>
        <w:tab w:val="right" w:pos="9360"/>
      </w:tabs>
    </w:pPr>
  </w:style>
  <w:style w:type="character" w:customStyle="1" w:styleId="FooterChar">
    <w:name w:val="Footer Char"/>
    <w:basedOn w:val="DefaultParagraphFont"/>
    <w:link w:val="Footer"/>
    <w:uiPriority w:val="99"/>
    <w:rsid w:val="00E8380D"/>
    <w:rPr>
      <w:rFonts w:ascii="Garamond" w:eastAsia="Times New Roman" w:hAnsi="Garamond" w:cs="Garamond"/>
      <w:sz w:val="24"/>
      <w:lang w:eastAsia="zh-CN"/>
    </w:rPr>
  </w:style>
  <w:style w:type="paragraph" w:styleId="CommentSubject">
    <w:name w:val="annotation subject"/>
    <w:basedOn w:val="CommentText"/>
    <w:next w:val="CommentText"/>
    <w:link w:val="CommentSubjectChar"/>
    <w:uiPriority w:val="99"/>
    <w:semiHidden/>
    <w:unhideWhenUsed/>
    <w:rsid w:val="00842264"/>
    <w:rPr>
      <w:b/>
      <w:bCs/>
    </w:rPr>
  </w:style>
  <w:style w:type="character" w:customStyle="1" w:styleId="CommentSubjectChar">
    <w:name w:val="Comment Subject Char"/>
    <w:basedOn w:val="CommentTextChar"/>
    <w:link w:val="CommentSubject"/>
    <w:uiPriority w:val="99"/>
    <w:semiHidden/>
    <w:rsid w:val="00842264"/>
    <w:rPr>
      <w:rFonts w:ascii="Garamond" w:eastAsia="Times New Roman" w:hAnsi="Garamond" w:cs="Garamond"/>
      <w:b/>
      <w:bCs/>
      <w:sz w:val="20"/>
      <w:szCs w:val="20"/>
      <w:lang w:eastAsia="zh-CN"/>
    </w:rPr>
  </w:style>
  <w:style w:type="paragraph" w:styleId="BodyText">
    <w:name w:val="Body Text"/>
    <w:basedOn w:val="Normal"/>
    <w:link w:val="BodyTextChar"/>
    <w:rsid w:val="000324DF"/>
    <w:pPr>
      <w:widowControl w:val="0"/>
      <w:spacing w:after="283"/>
      <w:jc w:val="left"/>
    </w:pPr>
    <w:rPr>
      <w:rFonts w:ascii="Liberation Serif" w:eastAsia="WenQuanYi Zen Hei Sharp" w:hAnsi="Liberation Serif" w:cs="Lohit Devanagari"/>
      <w:szCs w:val="24"/>
      <w:lang w:bidi="hi-IN"/>
    </w:rPr>
  </w:style>
  <w:style w:type="character" w:customStyle="1" w:styleId="BodyTextChar">
    <w:name w:val="Body Text Char"/>
    <w:basedOn w:val="DefaultParagraphFont"/>
    <w:link w:val="BodyText"/>
    <w:rsid w:val="000324DF"/>
    <w:rPr>
      <w:rFonts w:ascii="Liberation Serif" w:eastAsia="WenQuanYi Zen Hei Sharp" w:hAnsi="Liberation Serif" w:cs="Lohit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1121">
      <w:bodyDiv w:val="1"/>
      <w:marLeft w:val="0"/>
      <w:marRight w:val="0"/>
      <w:marTop w:val="0"/>
      <w:marBottom w:val="0"/>
      <w:divBdr>
        <w:top w:val="none" w:sz="0" w:space="0" w:color="auto"/>
        <w:left w:val="none" w:sz="0" w:space="0" w:color="auto"/>
        <w:bottom w:val="none" w:sz="0" w:space="0" w:color="auto"/>
        <w:right w:val="none" w:sz="0" w:space="0" w:color="auto"/>
      </w:divBdr>
    </w:div>
    <w:div w:id="802962929">
      <w:bodyDiv w:val="1"/>
      <w:marLeft w:val="0"/>
      <w:marRight w:val="0"/>
      <w:marTop w:val="0"/>
      <w:marBottom w:val="0"/>
      <w:divBdr>
        <w:top w:val="none" w:sz="0" w:space="0" w:color="auto"/>
        <w:left w:val="none" w:sz="0" w:space="0" w:color="auto"/>
        <w:bottom w:val="none" w:sz="0" w:space="0" w:color="auto"/>
        <w:right w:val="none" w:sz="0" w:space="0" w:color="auto"/>
      </w:divBdr>
    </w:div>
    <w:div w:id="1318071028">
      <w:bodyDiv w:val="1"/>
      <w:marLeft w:val="0"/>
      <w:marRight w:val="0"/>
      <w:marTop w:val="0"/>
      <w:marBottom w:val="0"/>
      <w:divBdr>
        <w:top w:val="none" w:sz="0" w:space="0" w:color="auto"/>
        <w:left w:val="none" w:sz="0" w:space="0" w:color="auto"/>
        <w:bottom w:val="none" w:sz="0" w:space="0" w:color="auto"/>
        <w:right w:val="none" w:sz="0" w:space="0" w:color="auto"/>
      </w:divBdr>
    </w:div>
    <w:div w:id="18835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dhca.state.tx.us/fair-housing/index.htm" TargetMode="External"/><Relationship Id="rId18" Type="http://schemas.openxmlformats.org/officeDocument/2006/relationships/hyperlink" Target="http://www.tdhca.state.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text-idx?SID=222584118d192eb177d111b97b45cda8&amp;mc=true&amp;tpl=/ecfrbrowse/Title24/24cfr93_main_02.tpl" TargetMode="External"/><Relationship Id="rId17" Type="http://schemas.openxmlformats.org/officeDocument/2006/relationships/hyperlink" Target="https://www.tdhca.state.tx.us/program-services/hud-section-3/index.htm" TargetMode="External"/><Relationship Id="rId2" Type="http://schemas.openxmlformats.org/officeDocument/2006/relationships/numbering" Target="numbering.xml"/><Relationship Id="rId16" Type="http://schemas.openxmlformats.org/officeDocument/2006/relationships/hyperlink" Target="https://www.tdhca.state.tx.us/program-services/davis-bacon/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c=ecfr&amp;tpl=/ecfrbrowse/Title24/24cfr92_main_02.tpl" TargetMode="External"/><Relationship Id="rId5" Type="http://schemas.openxmlformats.org/officeDocument/2006/relationships/webSettings" Target="webSettings.xml"/><Relationship Id="rId15" Type="http://schemas.openxmlformats.org/officeDocument/2006/relationships/hyperlink" Target="https://www.tdhca.state.tx.us/program-services/ura/index.htm" TargetMode="External"/><Relationship Id="rId10" Type="http://schemas.openxmlformats.org/officeDocument/2006/relationships/hyperlink" Target="http://www.statutes.legis.state.tx.us/Docs/GV/htm/GV.2306.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xreg.sos.state.tx.us/public/readtac$ext.ViewTAC?tac_view=3&amp;ti=10&amp;pt=1" TargetMode="External"/><Relationship Id="rId14" Type="http://schemas.openxmlformats.org/officeDocument/2006/relationships/hyperlink" Target="https://www.tdhca.state.tx.us/program-services/environment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893C-52AC-4254-A2A3-E2EB1C09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Goldberger</dc:creator>
  <cp:keywords/>
  <dc:description/>
  <cp:lastModifiedBy>Connor Jones</cp:lastModifiedBy>
  <cp:revision>19</cp:revision>
  <cp:lastPrinted>2022-12-14T20:10:00Z</cp:lastPrinted>
  <dcterms:created xsi:type="dcterms:W3CDTF">2022-12-14T20:02:00Z</dcterms:created>
  <dcterms:modified xsi:type="dcterms:W3CDTF">2024-01-05T22:43:00Z</dcterms:modified>
</cp:coreProperties>
</file>