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0CA6" w14:textId="6C871C03" w:rsidR="0042300A" w:rsidRDefault="00927A89" w:rsidP="0055431D">
      <w:pPr>
        <w:spacing w:after="0"/>
        <w:jc w:val="center"/>
        <w:rPr>
          <w:rFonts w:ascii="Arial Narrow" w:hAnsi="Arial Narrow"/>
          <w:b/>
          <w:sz w:val="28"/>
          <w:szCs w:val="28"/>
        </w:rPr>
      </w:pPr>
      <w:r w:rsidRPr="0099521B">
        <w:rPr>
          <w:rFonts w:ascii="Arial Narrow" w:hAnsi="Arial Narrow"/>
          <w:b/>
          <w:sz w:val="28"/>
          <w:szCs w:val="28"/>
        </w:rPr>
        <w:t>20</w:t>
      </w:r>
      <w:r w:rsidR="00212A1C">
        <w:rPr>
          <w:rFonts w:ascii="Arial Narrow" w:hAnsi="Arial Narrow"/>
          <w:b/>
          <w:sz w:val="28"/>
          <w:szCs w:val="28"/>
        </w:rPr>
        <w:t>2</w:t>
      </w:r>
      <w:r w:rsidR="00ED65D6">
        <w:rPr>
          <w:rFonts w:ascii="Arial Narrow" w:hAnsi="Arial Narrow"/>
          <w:b/>
          <w:sz w:val="28"/>
          <w:szCs w:val="28"/>
        </w:rPr>
        <w:t>5</w:t>
      </w:r>
      <w:r w:rsidRPr="0099521B">
        <w:rPr>
          <w:rFonts w:ascii="Arial Narrow" w:hAnsi="Arial Narrow"/>
          <w:b/>
          <w:sz w:val="28"/>
          <w:szCs w:val="28"/>
        </w:rPr>
        <w:t xml:space="preserve"> C</w:t>
      </w:r>
      <w:r w:rsidR="0003024D" w:rsidRPr="0099521B">
        <w:rPr>
          <w:rFonts w:ascii="Arial Narrow" w:hAnsi="Arial Narrow"/>
          <w:b/>
          <w:sz w:val="28"/>
          <w:szCs w:val="28"/>
        </w:rPr>
        <w:t>arryover Allocation</w:t>
      </w:r>
      <w:r w:rsidRPr="0099521B">
        <w:rPr>
          <w:rFonts w:ascii="Arial Narrow" w:hAnsi="Arial Narrow"/>
          <w:b/>
          <w:sz w:val="28"/>
          <w:szCs w:val="28"/>
        </w:rPr>
        <w:t xml:space="preserve"> </w:t>
      </w:r>
      <w:r w:rsidR="0042300A" w:rsidRPr="0099521B">
        <w:rPr>
          <w:rFonts w:ascii="Arial Narrow" w:hAnsi="Arial Narrow"/>
          <w:b/>
          <w:sz w:val="28"/>
          <w:szCs w:val="28"/>
        </w:rPr>
        <w:t xml:space="preserve">Agreement (CAA) </w:t>
      </w:r>
      <w:r w:rsidR="00E11D81" w:rsidRPr="0099521B">
        <w:rPr>
          <w:rFonts w:ascii="Arial Narrow" w:hAnsi="Arial Narrow"/>
          <w:b/>
          <w:sz w:val="28"/>
          <w:szCs w:val="28"/>
        </w:rPr>
        <w:t>Questionnaire</w:t>
      </w:r>
    </w:p>
    <w:p w14:paraId="015FF7BA" w14:textId="77777777" w:rsidR="00861A89" w:rsidRPr="00861A89" w:rsidRDefault="00861A89" w:rsidP="0055431D">
      <w:pPr>
        <w:spacing w:after="0"/>
        <w:jc w:val="center"/>
        <w:rPr>
          <w:rFonts w:ascii="Arial Narrow" w:hAnsi="Arial Narrow"/>
          <w:b/>
          <w:sz w:val="24"/>
          <w:szCs w:val="24"/>
        </w:rPr>
      </w:pPr>
    </w:p>
    <w:p w14:paraId="59AF4F9E" w14:textId="597BB2B5" w:rsidR="00861A89" w:rsidRPr="00C568B8" w:rsidRDefault="009645DD" w:rsidP="0055431D">
      <w:pPr>
        <w:pBdr>
          <w:top w:val="single" w:sz="4" w:space="1" w:color="auto"/>
          <w:bottom w:val="single" w:sz="4" w:space="1" w:color="auto"/>
        </w:pBdr>
        <w:autoSpaceDE w:val="0"/>
        <w:autoSpaceDN w:val="0"/>
        <w:adjustRightInd w:val="0"/>
        <w:spacing w:after="0" w:line="240" w:lineRule="auto"/>
        <w:jc w:val="both"/>
        <w:rPr>
          <w:rFonts w:ascii="Arial Narrow" w:hAnsi="Arial Narrow"/>
          <w:sz w:val="24"/>
          <w:szCs w:val="24"/>
        </w:rPr>
      </w:pPr>
      <w:r>
        <w:rPr>
          <w:rFonts w:ascii="Arial Narrow" w:hAnsi="Arial Narrow"/>
          <w:b/>
          <w:i/>
          <w:sz w:val="24"/>
          <w:szCs w:val="24"/>
        </w:rPr>
        <w:t xml:space="preserve">TDHCA </w:t>
      </w:r>
      <w:r w:rsidR="001041A2">
        <w:rPr>
          <w:rFonts w:ascii="Arial Narrow" w:hAnsi="Arial Narrow"/>
          <w:b/>
          <w:i/>
          <w:sz w:val="24"/>
          <w:szCs w:val="24"/>
        </w:rPr>
        <w:t>requires t</w:t>
      </w:r>
      <w:r w:rsidR="001041A2" w:rsidRPr="00861A89">
        <w:rPr>
          <w:rFonts w:ascii="Arial Narrow" w:hAnsi="Arial Narrow"/>
          <w:b/>
          <w:i/>
          <w:sz w:val="24"/>
          <w:szCs w:val="24"/>
        </w:rPr>
        <w:t>his questionnaire</w:t>
      </w:r>
      <w:r w:rsidR="001041A2">
        <w:rPr>
          <w:rFonts w:ascii="Arial Narrow" w:hAnsi="Arial Narrow"/>
          <w:b/>
          <w:i/>
          <w:sz w:val="24"/>
          <w:szCs w:val="24"/>
        </w:rPr>
        <w:t xml:space="preserve"> </w:t>
      </w:r>
      <w:r w:rsidR="0042300A" w:rsidRPr="00861A89">
        <w:rPr>
          <w:rFonts w:ascii="Arial Narrow" w:hAnsi="Arial Narrow"/>
          <w:b/>
          <w:i/>
          <w:sz w:val="24"/>
          <w:szCs w:val="24"/>
        </w:rPr>
        <w:t>to complete the CAA</w:t>
      </w:r>
      <w:r>
        <w:rPr>
          <w:rFonts w:ascii="Arial Narrow" w:hAnsi="Arial Narrow"/>
          <w:b/>
          <w:i/>
          <w:sz w:val="24"/>
          <w:szCs w:val="24"/>
        </w:rPr>
        <w:t>.</w:t>
      </w:r>
      <w:r w:rsidR="0042300A" w:rsidRPr="00861A89">
        <w:rPr>
          <w:rFonts w:ascii="Arial Narrow" w:hAnsi="Arial Narrow"/>
          <w:b/>
          <w:i/>
          <w:sz w:val="24"/>
          <w:szCs w:val="24"/>
        </w:rPr>
        <w:t xml:space="preserve"> </w:t>
      </w:r>
      <w:r>
        <w:rPr>
          <w:rFonts w:ascii="Arial Narrow" w:hAnsi="Arial Narrow"/>
          <w:b/>
          <w:i/>
          <w:sz w:val="24"/>
          <w:szCs w:val="24"/>
        </w:rPr>
        <w:t>Please</w:t>
      </w:r>
      <w:r w:rsidR="00F112AF" w:rsidRPr="00861A89">
        <w:rPr>
          <w:rFonts w:ascii="Arial Narrow" w:hAnsi="Arial Narrow"/>
          <w:b/>
          <w:i/>
          <w:sz w:val="24"/>
          <w:szCs w:val="24"/>
        </w:rPr>
        <w:t xml:space="preserve"> email th</w:t>
      </w:r>
      <w:r w:rsidR="004E5CDD">
        <w:rPr>
          <w:rFonts w:ascii="Arial Narrow" w:hAnsi="Arial Narrow"/>
          <w:b/>
          <w:i/>
          <w:sz w:val="24"/>
          <w:szCs w:val="24"/>
        </w:rPr>
        <w:t>e completed</w:t>
      </w:r>
      <w:r w:rsidR="00F112AF" w:rsidRPr="00861A89">
        <w:rPr>
          <w:rFonts w:ascii="Arial Narrow" w:hAnsi="Arial Narrow"/>
          <w:b/>
          <w:i/>
          <w:sz w:val="24"/>
          <w:szCs w:val="24"/>
        </w:rPr>
        <w:t xml:space="preserve"> questionnaire to </w:t>
      </w:r>
      <w:hyperlink r:id="rId6" w:history="1">
        <w:r w:rsidR="00D45FAA" w:rsidRPr="005231E6">
          <w:rPr>
            <w:rStyle w:val="Hyperlink"/>
            <w:rFonts w:ascii="Arial Narrow" w:hAnsi="Arial Narrow"/>
            <w:sz w:val="24"/>
            <w:szCs w:val="24"/>
          </w:rPr>
          <w:t>ben.sheppard@tdhca.texas.gov</w:t>
        </w:r>
      </w:hyperlink>
      <w:r>
        <w:rPr>
          <w:rFonts w:ascii="Arial Narrow" w:hAnsi="Arial Narrow"/>
          <w:b/>
          <w:i/>
          <w:sz w:val="24"/>
          <w:szCs w:val="24"/>
        </w:rPr>
        <w:t xml:space="preserve"> </w:t>
      </w:r>
      <w:r w:rsidR="00ED65D6">
        <w:rPr>
          <w:rFonts w:ascii="Arial Narrow" w:hAnsi="Arial Narrow"/>
          <w:b/>
          <w:i/>
          <w:sz w:val="24"/>
          <w:szCs w:val="24"/>
        </w:rPr>
        <w:t xml:space="preserve">as soon as possible but </w:t>
      </w:r>
      <w:r w:rsidR="000A4112">
        <w:rPr>
          <w:rFonts w:ascii="Arial Narrow" w:hAnsi="Arial Narrow"/>
          <w:b/>
          <w:i/>
          <w:sz w:val="24"/>
          <w:szCs w:val="24"/>
        </w:rPr>
        <w:t xml:space="preserve">no later than </w:t>
      </w:r>
      <w:r w:rsidR="004E5CDD">
        <w:rPr>
          <w:rFonts w:ascii="Arial Narrow" w:hAnsi="Arial Narrow"/>
          <w:b/>
          <w:i/>
          <w:sz w:val="24"/>
          <w:szCs w:val="24"/>
        </w:rPr>
        <w:t xml:space="preserve">Friday, </w:t>
      </w:r>
      <w:r w:rsidR="000A4112">
        <w:rPr>
          <w:rFonts w:ascii="Arial Narrow" w:hAnsi="Arial Narrow"/>
          <w:b/>
          <w:i/>
          <w:sz w:val="24"/>
          <w:szCs w:val="24"/>
        </w:rPr>
        <w:t xml:space="preserve">September </w:t>
      </w:r>
      <w:r w:rsidR="00ED65D6">
        <w:rPr>
          <w:rFonts w:ascii="Arial Narrow" w:hAnsi="Arial Narrow"/>
          <w:b/>
          <w:i/>
          <w:sz w:val="24"/>
          <w:szCs w:val="24"/>
        </w:rPr>
        <w:t>12,</w:t>
      </w:r>
      <w:r w:rsidR="000A4112">
        <w:rPr>
          <w:rFonts w:ascii="Arial Narrow" w:hAnsi="Arial Narrow"/>
          <w:b/>
          <w:i/>
          <w:sz w:val="24"/>
          <w:szCs w:val="24"/>
        </w:rPr>
        <w:t xml:space="preserve"> 202</w:t>
      </w:r>
      <w:r w:rsidR="00ED65D6">
        <w:rPr>
          <w:rFonts w:ascii="Arial Narrow" w:hAnsi="Arial Narrow"/>
          <w:b/>
          <w:i/>
          <w:sz w:val="24"/>
          <w:szCs w:val="24"/>
        </w:rPr>
        <w:t>5</w:t>
      </w:r>
      <w:r>
        <w:rPr>
          <w:rFonts w:ascii="Arial Narrow" w:hAnsi="Arial Narrow"/>
          <w:b/>
          <w:i/>
          <w:sz w:val="24"/>
          <w:szCs w:val="24"/>
        </w:rPr>
        <w:t>.</w:t>
      </w:r>
    </w:p>
    <w:p w14:paraId="358E5151" w14:textId="77777777" w:rsidR="00861A89" w:rsidRPr="00861A89" w:rsidRDefault="00861A89" w:rsidP="0007704D">
      <w:pPr>
        <w:spacing w:after="0" w:line="240" w:lineRule="auto"/>
        <w:jc w:val="both"/>
        <w:rPr>
          <w:rFonts w:ascii="Arial Narrow" w:hAnsi="Arial Narrow"/>
          <w:sz w:val="24"/>
          <w:szCs w:val="24"/>
        </w:rPr>
      </w:pPr>
    </w:p>
    <w:p w14:paraId="2FD26B77" w14:textId="5E8DCD58" w:rsidR="00126349" w:rsidRPr="00861A89" w:rsidRDefault="00FD70DC" w:rsidP="0007704D">
      <w:pPr>
        <w:spacing w:after="0" w:line="240" w:lineRule="auto"/>
        <w:jc w:val="both"/>
        <w:rPr>
          <w:rFonts w:ascii="Arial Narrow" w:hAnsi="Arial Narrow"/>
          <w:sz w:val="24"/>
          <w:szCs w:val="24"/>
        </w:rPr>
      </w:pPr>
      <w:r w:rsidRPr="00861A89">
        <w:rPr>
          <w:rFonts w:ascii="Arial Narrow" w:hAnsi="Arial Narrow"/>
          <w:sz w:val="24"/>
          <w:szCs w:val="24"/>
        </w:rPr>
        <w:t xml:space="preserve">Enter “N” </w:t>
      </w:r>
      <w:r w:rsidR="00E4087C" w:rsidRPr="00861A89">
        <w:rPr>
          <w:rFonts w:ascii="Arial Narrow" w:hAnsi="Arial Narrow"/>
          <w:sz w:val="24"/>
          <w:szCs w:val="24"/>
        </w:rPr>
        <w:t xml:space="preserve">if </w:t>
      </w:r>
      <w:r w:rsidR="00EA2535" w:rsidRPr="00861A89">
        <w:rPr>
          <w:rFonts w:ascii="Arial Narrow" w:hAnsi="Arial Narrow"/>
          <w:sz w:val="24"/>
          <w:szCs w:val="24"/>
        </w:rPr>
        <w:t>info</w:t>
      </w:r>
      <w:r w:rsidR="00ED0C55">
        <w:rPr>
          <w:rFonts w:ascii="Arial Narrow" w:hAnsi="Arial Narrow"/>
          <w:sz w:val="24"/>
          <w:szCs w:val="24"/>
        </w:rPr>
        <w:t>rm</w:t>
      </w:r>
      <w:r w:rsidR="00EA2535" w:rsidRPr="00861A89">
        <w:rPr>
          <w:rFonts w:ascii="Arial Narrow" w:hAnsi="Arial Narrow"/>
          <w:sz w:val="24"/>
          <w:szCs w:val="24"/>
        </w:rPr>
        <w:t xml:space="preserve">ation </w:t>
      </w:r>
      <w:r w:rsidR="002B60DE" w:rsidRPr="00861A89">
        <w:rPr>
          <w:rFonts w:ascii="Arial Narrow" w:hAnsi="Arial Narrow"/>
          <w:sz w:val="24"/>
          <w:szCs w:val="24"/>
        </w:rPr>
        <w:t xml:space="preserve">is not </w:t>
      </w:r>
      <w:r w:rsidR="00AF54E7">
        <w:rPr>
          <w:rFonts w:ascii="Arial Narrow" w:hAnsi="Arial Narrow"/>
          <w:sz w:val="24"/>
          <w:szCs w:val="24"/>
        </w:rPr>
        <w:t>applicable</w:t>
      </w:r>
      <w:r w:rsidR="004C4505">
        <w:rPr>
          <w:rFonts w:ascii="Arial Narrow" w:hAnsi="Arial Narrow"/>
          <w:sz w:val="24"/>
          <w:szCs w:val="24"/>
        </w:rPr>
        <w:t>. If information is applicable (</w:t>
      </w:r>
      <w:r w:rsidR="00E4087C" w:rsidRPr="00861A89">
        <w:rPr>
          <w:rFonts w:ascii="Arial Narrow" w:hAnsi="Arial Narrow"/>
          <w:sz w:val="24"/>
          <w:szCs w:val="24"/>
        </w:rPr>
        <w:t>e.g.</w:t>
      </w:r>
      <w:r w:rsidR="00A5737E">
        <w:rPr>
          <w:rFonts w:ascii="Arial Narrow" w:hAnsi="Arial Narrow"/>
          <w:sz w:val="24"/>
          <w:szCs w:val="24"/>
        </w:rPr>
        <w:t>,</w:t>
      </w:r>
      <w:r w:rsidR="00E4087C" w:rsidRPr="00861A89">
        <w:rPr>
          <w:rFonts w:ascii="Arial Narrow" w:hAnsi="Arial Narrow"/>
          <w:sz w:val="24"/>
          <w:szCs w:val="24"/>
        </w:rPr>
        <w:t xml:space="preserve"> “first </w:t>
      </w:r>
      <w:r w:rsidR="004C4505">
        <w:rPr>
          <w:rFonts w:ascii="Arial Narrow" w:hAnsi="Arial Narrow"/>
          <w:sz w:val="24"/>
          <w:szCs w:val="24"/>
        </w:rPr>
        <w:t>year of credit period” and “EIN</w:t>
      </w:r>
      <w:r w:rsidR="00E4087C" w:rsidRPr="00861A89">
        <w:rPr>
          <w:rFonts w:ascii="Arial Narrow" w:hAnsi="Arial Narrow"/>
          <w:sz w:val="24"/>
          <w:szCs w:val="24"/>
        </w:rPr>
        <w:t>”</w:t>
      </w:r>
      <w:r w:rsidR="004C4505">
        <w:rPr>
          <w:rFonts w:ascii="Arial Narrow" w:hAnsi="Arial Narrow"/>
          <w:sz w:val="24"/>
          <w:szCs w:val="24"/>
        </w:rPr>
        <w:t>)</w:t>
      </w:r>
      <w:r w:rsidR="00E4087C" w:rsidRPr="00861A89">
        <w:rPr>
          <w:rFonts w:ascii="Arial Narrow" w:hAnsi="Arial Narrow"/>
          <w:sz w:val="24"/>
          <w:szCs w:val="24"/>
        </w:rPr>
        <w:t xml:space="preserve"> </w:t>
      </w:r>
      <w:r w:rsidR="004C4505">
        <w:rPr>
          <w:rFonts w:ascii="Arial Narrow" w:hAnsi="Arial Narrow"/>
          <w:sz w:val="24"/>
          <w:szCs w:val="24"/>
        </w:rPr>
        <w:t xml:space="preserve">but unavailable, </w:t>
      </w:r>
      <w:r w:rsidR="00AF54E7">
        <w:rPr>
          <w:rFonts w:ascii="Arial Narrow" w:hAnsi="Arial Narrow"/>
          <w:sz w:val="24"/>
          <w:szCs w:val="24"/>
        </w:rPr>
        <w:t xml:space="preserve">your </w:t>
      </w:r>
      <w:r w:rsidR="004C4505">
        <w:rPr>
          <w:rFonts w:ascii="Arial Narrow" w:hAnsi="Arial Narrow"/>
          <w:sz w:val="24"/>
          <w:szCs w:val="24"/>
        </w:rPr>
        <w:t xml:space="preserve">email </w:t>
      </w:r>
      <w:r w:rsidR="00AF54E7">
        <w:rPr>
          <w:rFonts w:ascii="Arial Narrow" w:hAnsi="Arial Narrow"/>
          <w:sz w:val="24"/>
          <w:szCs w:val="24"/>
        </w:rPr>
        <w:t xml:space="preserve">conveying </w:t>
      </w:r>
      <w:r w:rsidR="004C4505">
        <w:rPr>
          <w:rFonts w:ascii="Arial Narrow" w:hAnsi="Arial Narrow"/>
          <w:sz w:val="24"/>
          <w:szCs w:val="24"/>
        </w:rPr>
        <w:t>this questionnaire should explain</w:t>
      </w:r>
      <w:r w:rsidR="00AF54E7">
        <w:rPr>
          <w:rFonts w:ascii="Arial Narrow" w:hAnsi="Arial Narrow"/>
          <w:sz w:val="24"/>
          <w:szCs w:val="24"/>
        </w:rPr>
        <w:t xml:space="preserve"> why and state the expected date</w:t>
      </w:r>
      <w:r w:rsidR="004C4505">
        <w:rPr>
          <w:rFonts w:ascii="Arial Narrow" w:hAnsi="Arial Narrow"/>
          <w:sz w:val="24"/>
          <w:szCs w:val="24"/>
        </w:rPr>
        <w:t xml:space="preserve"> of availability</w:t>
      </w:r>
      <w:r w:rsidR="00E4087C" w:rsidRPr="00861A89">
        <w:rPr>
          <w:rFonts w:ascii="Arial Narrow" w:hAnsi="Arial Narrow"/>
          <w:sz w:val="24"/>
          <w:szCs w:val="24"/>
        </w:rPr>
        <w:t>.</w:t>
      </w:r>
    </w:p>
    <w:p w14:paraId="3671824F" w14:textId="77777777" w:rsidR="00861A89" w:rsidRPr="00861A89" w:rsidRDefault="00861A89" w:rsidP="0007704D">
      <w:pPr>
        <w:spacing w:after="0" w:line="240" w:lineRule="auto"/>
        <w:jc w:val="both"/>
        <w:rPr>
          <w:rFonts w:ascii="Arial Narrow" w:hAnsi="Arial Narrow"/>
          <w:sz w:val="24"/>
          <w:szCs w:val="24"/>
        </w:rPr>
      </w:pPr>
    </w:p>
    <w:p w14:paraId="3BA0CE84" w14:textId="6241616A" w:rsidR="00D3155C" w:rsidRDefault="00AE6561" w:rsidP="00040429">
      <w:pPr>
        <w:spacing w:after="0" w:line="240" w:lineRule="auto"/>
        <w:jc w:val="both"/>
        <w:rPr>
          <w:rFonts w:ascii="Arial Narrow" w:hAnsi="Arial Narrow"/>
          <w:sz w:val="24"/>
          <w:szCs w:val="24"/>
        </w:rPr>
      </w:pPr>
      <w:r w:rsidRPr="00861A89">
        <w:rPr>
          <w:rFonts w:ascii="Arial Narrow" w:hAnsi="Arial Narrow"/>
          <w:sz w:val="24"/>
          <w:szCs w:val="24"/>
        </w:rPr>
        <w:t>Th</w:t>
      </w:r>
      <w:r w:rsidR="00E4087C" w:rsidRPr="00861A89">
        <w:rPr>
          <w:rFonts w:ascii="Arial Narrow" w:hAnsi="Arial Narrow"/>
          <w:sz w:val="24"/>
          <w:szCs w:val="24"/>
        </w:rPr>
        <w:t xml:space="preserve">e subject </w:t>
      </w:r>
      <w:r w:rsidR="00D87B07">
        <w:rPr>
          <w:rFonts w:ascii="Arial Narrow" w:hAnsi="Arial Narrow"/>
          <w:sz w:val="24"/>
          <w:szCs w:val="24"/>
        </w:rPr>
        <w:t>202</w:t>
      </w:r>
      <w:r w:rsidR="00ED65D6">
        <w:rPr>
          <w:rFonts w:ascii="Arial Narrow" w:hAnsi="Arial Narrow"/>
          <w:sz w:val="24"/>
          <w:szCs w:val="24"/>
        </w:rPr>
        <w:t>5</w:t>
      </w:r>
      <w:r w:rsidR="00D87B07">
        <w:rPr>
          <w:rFonts w:ascii="Arial Narrow" w:hAnsi="Arial Narrow"/>
          <w:sz w:val="24"/>
          <w:szCs w:val="24"/>
        </w:rPr>
        <w:t xml:space="preserve"> Application </w:t>
      </w:r>
      <w:r w:rsidR="00D87B07" w:rsidRPr="00861A89">
        <w:rPr>
          <w:rFonts w:ascii="Arial Narrow" w:hAnsi="Arial Narrow"/>
          <w:sz w:val="24"/>
          <w:szCs w:val="24"/>
        </w:rPr>
        <w:t>number</w:t>
      </w:r>
      <w:r w:rsidR="00D87B07">
        <w:rPr>
          <w:rFonts w:ascii="Arial Narrow" w:hAnsi="Arial Narrow"/>
          <w:sz w:val="24"/>
          <w:szCs w:val="24"/>
        </w:rPr>
        <w:t xml:space="preserve"> is</w:t>
      </w:r>
      <w:r w:rsidR="00D87B07" w:rsidRPr="00861A89">
        <w:rPr>
          <w:rFonts w:ascii="Arial Narrow" w:hAnsi="Arial Narrow"/>
          <w:sz w:val="24"/>
          <w:szCs w:val="24"/>
        </w:rPr>
        <w:t xml:space="preserve"> </w:t>
      </w:r>
      <w:r w:rsidR="00D87B07" w:rsidRPr="00FD0D92">
        <w:rPr>
          <w:rFonts w:ascii="Arial Narrow" w:hAnsi="Arial Narrow"/>
          <w:sz w:val="24"/>
          <w:szCs w:val="24"/>
          <w:u w:val="single"/>
        </w:rPr>
        <w:fldChar w:fldCharType="begin">
          <w:ffData>
            <w:name w:val="Text188"/>
            <w:enabled/>
            <w:calcOnExit w:val="0"/>
            <w:textInput/>
          </w:ffData>
        </w:fldChar>
      </w:r>
      <w:r w:rsidR="00D87B07" w:rsidRPr="00FD0D92">
        <w:rPr>
          <w:rFonts w:ascii="Arial Narrow" w:hAnsi="Arial Narrow"/>
          <w:sz w:val="24"/>
          <w:szCs w:val="24"/>
          <w:u w:val="single"/>
        </w:rPr>
        <w:instrText xml:space="preserve"> FORMTEXT </w:instrText>
      </w:r>
      <w:r w:rsidR="00D87B07" w:rsidRPr="00FD0D92">
        <w:rPr>
          <w:rFonts w:ascii="Arial Narrow" w:hAnsi="Arial Narrow"/>
          <w:sz w:val="24"/>
          <w:szCs w:val="24"/>
          <w:u w:val="single"/>
        </w:rPr>
      </w:r>
      <w:r w:rsidR="00D87B07" w:rsidRPr="00FD0D92">
        <w:rPr>
          <w:rFonts w:ascii="Arial Narrow" w:hAnsi="Arial Narrow"/>
          <w:sz w:val="24"/>
          <w:szCs w:val="24"/>
          <w:u w:val="single"/>
        </w:rPr>
        <w:fldChar w:fldCharType="separate"/>
      </w:r>
      <w:r w:rsidR="00D87B07" w:rsidRPr="00FD0D92">
        <w:rPr>
          <w:rFonts w:ascii="Arial Narrow" w:hAnsi="Arial Narrow"/>
          <w:sz w:val="24"/>
          <w:szCs w:val="24"/>
          <w:u w:val="single"/>
        </w:rPr>
        <w:t> </w:t>
      </w:r>
      <w:r w:rsidR="00D87B07" w:rsidRPr="00FD0D92">
        <w:rPr>
          <w:rFonts w:ascii="Arial Narrow" w:hAnsi="Arial Narrow"/>
          <w:sz w:val="24"/>
          <w:szCs w:val="24"/>
          <w:u w:val="single"/>
        </w:rPr>
        <w:t> </w:t>
      </w:r>
      <w:r w:rsidR="00D87B07" w:rsidRPr="00FD0D92">
        <w:rPr>
          <w:rFonts w:ascii="Arial Narrow" w:hAnsi="Arial Narrow"/>
          <w:sz w:val="24"/>
          <w:szCs w:val="24"/>
          <w:u w:val="single"/>
        </w:rPr>
        <w:t> </w:t>
      </w:r>
      <w:r w:rsidR="00D87B07" w:rsidRPr="00FD0D92">
        <w:rPr>
          <w:rFonts w:ascii="Arial Narrow" w:hAnsi="Arial Narrow"/>
          <w:sz w:val="24"/>
          <w:szCs w:val="24"/>
          <w:u w:val="single"/>
        </w:rPr>
        <w:t> </w:t>
      </w:r>
      <w:r w:rsidR="00D87B07" w:rsidRPr="00FD0D92">
        <w:rPr>
          <w:rFonts w:ascii="Arial Narrow" w:hAnsi="Arial Narrow"/>
          <w:sz w:val="24"/>
          <w:szCs w:val="24"/>
          <w:u w:val="single"/>
        </w:rPr>
        <w:t> </w:t>
      </w:r>
      <w:r w:rsidR="00D87B07" w:rsidRPr="00FD0D92">
        <w:rPr>
          <w:rFonts w:ascii="Arial Narrow" w:hAnsi="Arial Narrow"/>
          <w:sz w:val="24"/>
          <w:szCs w:val="24"/>
          <w:u w:val="single"/>
        </w:rPr>
        <w:fldChar w:fldCharType="end"/>
      </w:r>
      <w:r w:rsidR="00D87B07" w:rsidRPr="00D87B07">
        <w:rPr>
          <w:rFonts w:ascii="Arial Narrow" w:hAnsi="Arial Narrow"/>
          <w:sz w:val="24"/>
          <w:szCs w:val="24"/>
        </w:rPr>
        <w:t>,</w:t>
      </w:r>
      <w:r w:rsidR="00D87B07">
        <w:rPr>
          <w:rFonts w:ascii="Arial Narrow" w:hAnsi="Arial Narrow"/>
          <w:sz w:val="24"/>
          <w:szCs w:val="24"/>
        </w:rPr>
        <w:t xml:space="preserve"> and the</w:t>
      </w:r>
      <w:r w:rsidR="00D87B07" w:rsidRPr="00861A89">
        <w:rPr>
          <w:rFonts w:ascii="Arial Narrow" w:hAnsi="Arial Narrow"/>
          <w:sz w:val="24"/>
          <w:szCs w:val="24"/>
        </w:rPr>
        <w:t xml:space="preserve"> </w:t>
      </w:r>
      <w:r w:rsidRPr="00861A89">
        <w:rPr>
          <w:rFonts w:ascii="Arial Narrow" w:hAnsi="Arial Narrow"/>
          <w:sz w:val="24"/>
          <w:szCs w:val="24"/>
        </w:rPr>
        <w:t xml:space="preserve">development </w:t>
      </w:r>
      <w:r w:rsidR="00E4087C" w:rsidRPr="00861A89">
        <w:rPr>
          <w:rFonts w:ascii="Arial Narrow" w:hAnsi="Arial Narrow"/>
          <w:sz w:val="24"/>
          <w:szCs w:val="24"/>
        </w:rPr>
        <w:t xml:space="preserve">is </w:t>
      </w:r>
      <w:r w:rsidR="009E312E" w:rsidRPr="00861A89">
        <w:rPr>
          <w:rFonts w:ascii="Arial Narrow" w:hAnsi="Arial Narrow"/>
          <w:sz w:val="24"/>
          <w:szCs w:val="24"/>
        </w:rPr>
        <w:t xml:space="preserve">named </w:t>
      </w:r>
      <w:r w:rsidR="009E312E" w:rsidRPr="00FD0D92">
        <w:rPr>
          <w:rFonts w:ascii="Arial Narrow" w:hAnsi="Arial Narrow"/>
          <w:sz w:val="24"/>
          <w:szCs w:val="24"/>
          <w:u w:val="single"/>
        </w:rPr>
        <w:fldChar w:fldCharType="begin">
          <w:ffData>
            <w:name w:val="Text188"/>
            <w:enabled/>
            <w:calcOnExit w:val="0"/>
            <w:textInput/>
          </w:ffData>
        </w:fldChar>
      </w:r>
      <w:r w:rsidR="009E312E" w:rsidRPr="00FD0D92">
        <w:rPr>
          <w:rFonts w:ascii="Arial Narrow" w:hAnsi="Arial Narrow"/>
          <w:sz w:val="24"/>
          <w:szCs w:val="24"/>
          <w:u w:val="single"/>
        </w:rPr>
        <w:instrText xml:space="preserve"> FORMTEXT </w:instrText>
      </w:r>
      <w:r w:rsidR="009E312E" w:rsidRPr="00FD0D92">
        <w:rPr>
          <w:rFonts w:ascii="Arial Narrow" w:hAnsi="Arial Narrow"/>
          <w:sz w:val="24"/>
          <w:szCs w:val="24"/>
          <w:u w:val="single"/>
        </w:rPr>
      </w:r>
      <w:r w:rsidR="009E312E" w:rsidRPr="00FD0D92">
        <w:rPr>
          <w:rFonts w:ascii="Arial Narrow" w:hAnsi="Arial Narrow"/>
          <w:sz w:val="24"/>
          <w:szCs w:val="24"/>
          <w:u w:val="single"/>
        </w:rPr>
        <w:fldChar w:fldCharType="separate"/>
      </w:r>
      <w:r w:rsidR="007714A5">
        <w:rPr>
          <w:rFonts w:ascii="Arial Narrow" w:hAnsi="Arial Narrow"/>
          <w:sz w:val="24"/>
          <w:szCs w:val="24"/>
          <w:u w:val="single"/>
        </w:rPr>
        <w:t> </w:t>
      </w:r>
      <w:r w:rsidR="007714A5">
        <w:rPr>
          <w:rFonts w:ascii="Arial Narrow" w:hAnsi="Arial Narrow"/>
          <w:sz w:val="24"/>
          <w:szCs w:val="24"/>
          <w:u w:val="single"/>
        </w:rPr>
        <w:t> </w:t>
      </w:r>
      <w:r w:rsidR="007714A5">
        <w:rPr>
          <w:rFonts w:ascii="Arial Narrow" w:hAnsi="Arial Narrow"/>
          <w:sz w:val="24"/>
          <w:szCs w:val="24"/>
          <w:u w:val="single"/>
        </w:rPr>
        <w:t> </w:t>
      </w:r>
      <w:r w:rsidR="007714A5">
        <w:rPr>
          <w:rFonts w:ascii="Arial Narrow" w:hAnsi="Arial Narrow"/>
          <w:sz w:val="24"/>
          <w:szCs w:val="24"/>
          <w:u w:val="single"/>
        </w:rPr>
        <w:t> </w:t>
      </w:r>
      <w:r w:rsidR="007714A5">
        <w:rPr>
          <w:rFonts w:ascii="Arial Narrow" w:hAnsi="Arial Narrow"/>
          <w:sz w:val="24"/>
          <w:szCs w:val="24"/>
          <w:u w:val="single"/>
        </w:rPr>
        <w:t> </w:t>
      </w:r>
      <w:r w:rsidR="009E312E" w:rsidRPr="00FD0D92">
        <w:rPr>
          <w:rFonts w:ascii="Arial Narrow" w:hAnsi="Arial Narrow"/>
          <w:sz w:val="24"/>
          <w:szCs w:val="24"/>
          <w:u w:val="single"/>
        </w:rPr>
        <w:fldChar w:fldCharType="end"/>
      </w:r>
      <w:r w:rsidR="00D3155C" w:rsidRPr="00861A89">
        <w:rPr>
          <w:rFonts w:ascii="Arial Narrow" w:hAnsi="Arial Narrow"/>
          <w:sz w:val="24"/>
          <w:szCs w:val="24"/>
        </w:rPr>
        <w:t>.</w:t>
      </w:r>
    </w:p>
    <w:p w14:paraId="231F722D" w14:textId="77777777" w:rsidR="009E312E" w:rsidRDefault="009E312E" w:rsidP="00040429">
      <w:pPr>
        <w:spacing w:after="0" w:line="240" w:lineRule="auto"/>
        <w:jc w:val="both"/>
        <w:rPr>
          <w:rFonts w:ascii="Arial Narrow" w:hAnsi="Arial Narrow"/>
          <w:sz w:val="24"/>
          <w:szCs w:val="24"/>
        </w:rPr>
      </w:pPr>
    </w:p>
    <w:p w14:paraId="086BE21F" w14:textId="77777777" w:rsidR="00732336" w:rsidRDefault="00716974" w:rsidP="00040429">
      <w:pPr>
        <w:spacing w:after="0" w:line="240" w:lineRule="auto"/>
        <w:jc w:val="both"/>
        <w:rPr>
          <w:rFonts w:ascii="Arial Narrow" w:hAnsi="Arial Narrow"/>
          <w:sz w:val="24"/>
          <w:szCs w:val="24"/>
        </w:rPr>
      </w:pPr>
      <w:r>
        <w:rPr>
          <w:rFonts w:ascii="Arial Narrow" w:hAnsi="Arial Narrow"/>
          <w:sz w:val="24"/>
          <w:szCs w:val="24"/>
        </w:rPr>
        <w:t>T</w:t>
      </w:r>
      <w:r w:rsidR="00732336">
        <w:rPr>
          <w:rFonts w:ascii="Arial Narrow" w:hAnsi="Arial Narrow"/>
          <w:sz w:val="24"/>
          <w:szCs w:val="24"/>
        </w:rPr>
        <w:t xml:space="preserve">he </w:t>
      </w:r>
      <w:r>
        <w:rPr>
          <w:rFonts w:ascii="Arial Narrow" w:hAnsi="Arial Narrow"/>
          <w:sz w:val="24"/>
          <w:szCs w:val="24"/>
        </w:rPr>
        <w:t xml:space="preserve">following </w:t>
      </w:r>
      <w:r w:rsidR="008B4BB3">
        <w:rPr>
          <w:rFonts w:ascii="Arial Narrow" w:hAnsi="Arial Narrow"/>
          <w:sz w:val="24"/>
          <w:szCs w:val="24"/>
        </w:rPr>
        <w:t>response must</w:t>
      </w:r>
      <w:r w:rsidR="00732336">
        <w:rPr>
          <w:rFonts w:ascii="Arial Narrow" w:hAnsi="Arial Narrow"/>
          <w:sz w:val="24"/>
          <w:szCs w:val="24"/>
        </w:rPr>
        <w:t xml:space="preserve"> include any </w:t>
      </w:r>
      <w:r w:rsidR="00CD5C44">
        <w:rPr>
          <w:rFonts w:ascii="Arial Narrow" w:hAnsi="Arial Narrow"/>
          <w:sz w:val="24"/>
          <w:szCs w:val="24"/>
        </w:rPr>
        <w:t xml:space="preserve">carryover allocation or Form 8609 issued </w:t>
      </w:r>
      <w:r>
        <w:rPr>
          <w:rFonts w:ascii="Arial Narrow" w:hAnsi="Arial Narrow"/>
          <w:sz w:val="24"/>
          <w:szCs w:val="24"/>
        </w:rPr>
        <w:t xml:space="preserve">from 1986 forward, even if the affordability period </w:t>
      </w:r>
      <w:r w:rsidR="00CD5C44">
        <w:rPr>
          <w:rFonts w:ascii="Arial Narrow" w:hAnsi="Arial Narrow"/>
          <w:sz w:val="24"/>
          <w:szCs w:val="24"/>
        </w:rPr>
        <w:t xml:space="preserve">for such allocation </w:t>
      </w:r>
      <w:r>
        <w:rPr>
          <w:rFonts w:ascii="Arial Narrow" w:hAnsi="Arial Narrow"/>
          <w:sz w:val="24"/>
          <w:szCs w:val="24"/>
        </w:rPr>
        <w:t>has expired.</w:t>
      </w:r>
      <w:r w:rsidR="00CD5C44">
        <w:rPr>
          <w:rFonts w:ascii="Arial Narrow" w:hAnsi="Arial Narrow"/>
          <w:sz w:val="24"/>
          <w:szCs w:val="24"/>
        </w:rPr>
        <w:t xml:space="preserve"> All or some of the buildings in t</w:t>
      </w:r>
      <w:r w:rsidR="009E312E">
        <w:rPr>
          <w:rFonts w:ascii="Arial Narrow" w:hAnsi="Arial Narrow"/>
          <w:sz w:val="24"/>
          <w:szCs w:val="24"/>
        </w:rPr>
        <w:t>he subject development received a</w:t>
      </w:r>
      <w:r w:rsidR="00CD5C44">
        <w:rPr>
          <w:rFonts w:ascii="Arial Narrow" w:hAnsi="Arial Narrow"/>
          <w:sz w:val="24"/>
          <w:szCs w:val="24"/>
        </w:rPr>
        <w:t>n allocation of</w:t>
      </w:r>
      <w:r w:rsidR="009E312E">
        <w:rPr>
          <w:rFonts w:ascii="Arial Narrow" w:hAnsi="Arial Narrow"/>
          <w:sz w:val="24"/>
          <w:szCs w:val="24"/>
        </w:rPr>
        <w:t xml:space="preserve"> tax credit</w:t>
      </w:r>
      <w:r w:rsidR="00CD5C44">
        <w:rPr>
          <w:rFonts w:ascii="Arial Narrow" w:hAnsi="Arial Narrow"/>
          <w:sz w:val="24"/>
          <w:szCs w:val="24"/>
        </w:rPr>
        <w:t>s</w:t>
      </w:r>
      <w:r w:rsidR="009E312E">
        <w:rPr>
          <w:rFonts w:ascii="Arial Narrow" w:hAnsi="Arial Narrow"/>
          <w:sz w:val="24"/>
          <w:szCs w:val="24"/>
        </w:rPr>
        <w:t xml:space="preserve"> (HTC</w:t>
      </w:r>
      <w:r w:rsidR="008B4BB3">
        <w:rPr>
          <w:rFonts w:ascii="Arial Narrow" w:hAnsi="Arial Narrow"/>
          <w:sz w:val="24"/>
          <w:szCs w:val="24"/>
        </w:rPr>
        <w:t>s</w:t>
      </w:r>
      <w:r w:rsidR="009E312E">
        <w:rPr>
          <w:rFonts w:ascii="Arial Narrow" w:hAnsi="Arial Narrow"/>
          <w:sz w:val="24"/>
          <w:szCs w:val="24"/>
        </w:rPr>
        <w:t xml:space="preserve">) </w:t>
      </w:r>
      <w:r w:rsidR="00732336">
        <w:rPr>
          <w:rFonts w:ascii="Arial Narrow" w:hAnsi="Arial Narrow"/>
          <w:sz w:val="24"/>
          <w:szCs w:val="24"/>
        </w:rPr>
        <w:t>in a</w:t>
      </w:r>
      <w:r w:rsidR="009E312E">
        <w:rPr>
          <w:rFonts w:ascii="Arial Narrow" w:hAnsi="Arial Narrow"/>
          <w:sz w:val="24"/>
          <w:szCs w:val="24"/>
        </w:rPr>
        <w:t xml:space="preserve"> </w:t>
      </w:r>
      <w:r w:rsidR="00732336">
        <w:rPr>
          <w:rFonts w:ascii="Arial Narrow" w:hAnsi="Arial Narrow"/>
          <w:sz w:val="24"/>
          <w:szCs w:val="24"/>
        </w:rPr>
        <w:t xml:space="preserve">previous year </w:t>
      </w:r>
      <w:r w:rsidR="00CD5C44">
        <w:rPr>
          <w:rFonts w:ascii="Arial Narrow" w:hAnsi="Arial Narrow"/>
          <w:sz w:val="24"/>
          <w:szCs w:val="24"/>
        </w:rPr>
        <w:t xml:space="preserve">under the following </w:t>
      </w:r>
      <w:r w:rsidR="009E312E">
        <w:rPr>
          <w:rFonts w:ascii="Arial Narrow" w:hAnsi="Arial Narrow"/>
          <w:sz w:val="24"/>
          <w:szCs w:val="24"/>
        </w:rPr>
        <w:t xml:space="preserve">development number </w:t>
      </w:r>
      <w:r w:rsidR="009E312E" w:rsidRPr="00861A89">
        <w:rPr>
          <w:rFonts w:ascii="Arial Narrow" w:hAnsi="Arial Narrow"/>
          <w:sz w:val="24"/>
          <w:szCs w:val="24"/>
        </w:rPr>
        <w:fldChar w:fldCharType="begin">
          <w:ffData>
            <w:name w:val="Text188"/>
            <w:enabled/>
            <w:calcOnExit w:val="0"/>
            <w:textInput/>
          </w:ffData>
        </w:fldChar>
      </w:r>
      <w:r w:rsidR="009E312E" w:rsidRPr="00861A89">
        <w:rPr>
          <w:rFonts w:ascii="Arial Narrow" w:hAnsi="Arial Narrow"/>
          <w:sz w:val="24"/>
          <w:szCs w:val="24"/>
        </w:rPr>
        <w:instrText xml:space="preserve"> FORMTEXT </w:instrText>
      </w:r>
      <w:r w:rsidR="009E312E" w:rsidRPr="00861A89">
        <w:rPr>
          <w:rFonts w:ascii="Arial Narrow" w:hAnsi="Arial Narrow"/>
          <w:sz w:val="24"/>
          <w:szCs w:val="24"/>
        </w:rPr>
      </w:r>
      <w:r w:rsidR="009E312E" w:rsidRPr="00861A89">
        <w:rPr>
          <w:rFonts w:ascii="Arial Narrow" w:hAnsi="Arial Narrow"/>
          <w:sz w:val="24"/>
          <w:szCs w:val="24"/>
        </w:rPr>
        <w:fldChar w:fldCharType="separate"/>
      </w:r>
      <w:r w:rsidR="009E312E">
        <w:rPr>
          <w:rFonts w:ascii="Arial Narrow" w:hAnsi="Arial Narrow"/>
          <w:sz w:val="24"/>
          <w:szCs w:val="24"/>
        </w:rPr>
        <w:t> </w:t>
      </w:r>
      <w:r w:rsidR="009E312E">
        <w:rPr>
          <w:rFonts w:ascii="Arial Narrow" w:hAnsi="Arial Narrow"/>
          <w:sz w:val="24"/>
          <w:szCs w:val="24"/>
        </w:rPr>
        <w:t> </w:t>
      </w:r>
      <w:r w:rsidR="009E312E">
        <w:rPr>
          <w:rFonts w:ascii="Arial Narrow" w:hAnsi="Arial Narrow"/>
          <w:sz w:val="24"/>
          <w:szCs w:val="24"/>
        </w:rPr>
        <w:t> </w:t>
      </w:r>
      <w:r w:rsidR="009E312E">
        <w:rPr>
          <w:rFonts w:ascii="Arial Narrow" w:hAnsi="Arial Narrow"/>
          <w:sz w:val="24"/>
          <w:szCs w:val="24"/>
        </w:rPr>
        <w:t> </w:t>
      </w:r>
      <w:r w:rsidR="009E312E">
        <w:rPr>
          <w:rFonts w:ascii="Arial Narrow" w:hAnsi="Arial Narrow"/>
          <w:sz w:val="24"/>
          <w:szCs w:val="24"/>
        </w:rPr>
        <w:t> </w:t>
      </w:r>
      <w:r w:rsidR="009E312E" w:rsidRPr="00861A89">
        <w:rPr>
          <w:rFonts w:ascii="Arial Narrow" w:hAnsi="Arial Narrow"/>
          <w:sz w:val="24"/>
          <w:szCs w:val="24"/>
        </w:rPr>
        <w:fldChar w:fldCharType="end"/>
      </w:r>
      <w:r w:rsidR="009E312E">
        <w:rPr>
          <w:rFonts w:ascii="Arial Narrow" w:hAnsi="Arial Narrow"/>
          <w:sz w:val="24"/>
          <w:szCs w:val="24"/>
        </w:rPr>
        <w:t>.</w:t>
      </w:r>
    </w:p>
    <w:p w14:paraId="2DCE7476" w14:textId="77777777" w:rsidR="00732336" w:rsidRDefault="00F75069" w:rsidP="00040429">
      <w:pPr>
        <w:spacing w:after="0" w:line="240" w:lineRule="auto"/>
        <w:jc w:val="both"/>
        <w:rPr>
          <w:rFonts w:ascii="Arial Narrow" w:hAnsi="Arial Narrow"/>
          <w:sz w:val="24"/>
          <w:szCs w:val="24"/>
        </w:rPr>
      </w:pPr>
      <w:r>
        <w:rPr>
          <w:rFonts w:ascii="Arial Narrow" w:hAnsi="Arial Narrow"/>
          <w:sz w:val="24"/>
          <w:szCs w:val="24"/>
        </w:rPr>
        <w:t xml:space="preserve">The </w:t>
      </w:r>
      <w:r w:rsidR="00D3155C" w:rsidRPr="00861A89">
        <w:rPr>
          <w:rFonts w:ascii="Arial Narrow" w:hAnsi="Arial Narrow"/>
          <w:sz w:val="24"/>
          <w:szCs w:val="24"/>
        </w:rPr>
        <w:t>BINs</w:t>
      </w:r>
      <w:r w:rsidR="00DD74C9" w:rsidRPr="00861A89">
        <w:rPr>
          <w:rFonts w:ascii="Arial Narrow" w:hAnsi="Arial Narrow"/>
          <w:sz w:val="24"/>
          <w:szCs w:val="24"/>
        </w:rPr>
        <w:t xml:space="preserve"> </w:t>
      </w:r>
      <w:r>
        <w:rPr>
          <w:rFonts w:ascii="Arial Narrow" w:hAnsi="Arial Narrow"/>
          <w:sz w:val="24"/>
          <w:szCs w:val="24"/>
        </w:rPr>
        <w:t>of this previous allocation were</w:t>
      </w:r>
      <w:r w:rsidR="00732336" w:rsidRPr="00732336">
        <w:rPr>
          <w:rFonts w:ascii="Arial Narrow" w:hAnsi="Arial Narrow"/>
          <w:sz w:val="24"/>
          <w:szCs w:val="24"/>
        </w:rPr>
        <w:t xml:space="preserve"> </w:t>
      </w:r>
      <w:r w:rsidR="00732336" w:rsidRPr="00861A89">
        <w:rPr>
          <w:rFonts w:ascii="Arial Narrow" w:hAnsi="Arial Narrow"/>
          <w:sz w:val="24"/>
          <w:szCs w:val="24"/>
        </w:rPr>
        <w:t>TX-</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732336" w:rsidRPr="00861A89">
        <w:rPr>
          <w:rFonts w:ascii="Arial Narrow" w:hAnsi="Arial Narrow"/>
          <w:sz w:val="24"/>
          <w:szCs w:val="24"/>
        </w:rPr>
        <w:t>-</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732336" w:rsidRPr="00861A89">
        <w:rPr>
          <w:rFonts w:ascii="Arial Narrow" w:hAnsi="Arial Narrow"/>
          <w:sz w:val="24"/>
          <w:szCs w:val="24"/>
        </w:rPr>
        <w:t xml:space="preserve"> through TX-</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732336" w:rsidRPr="00861A89">
        <w:rPr>
          <w:rFonts w:ascii="Arial Narrow" w:hAnsi="Arial Narrow"/>
          <w:sz w:val="24"/>
          <w:szCs w:val="24"/>
        </w:rPr>
        <w:t>-</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E14032" w:rsidRPr="00861A89">
        <w:rPr>
          <w:rFonts w:ascii="Arial Narrow" w:hAnsi="Arial Narrow"/>
          <w:sz w:val="24"/>
          <w:szCs w:val="24"/>
        </w:rPr>
        <w:t>.</w:t>
      </w:r>
    </w:p>
    <w:p w14:paraId="6456AB5B" w14:textId="77777777" w:rsidR="00861A89" w:rsidRPr="00861A89" w:rsidRDefault="00861A89" w:rsidP="00040429">
      <w:pPr>
        <w:spacing w:after="0" w:line="240" w:lineRule="auto"/>
        <w:jc w:val="both"/>
        <w:rPr>
          <w:rFonts w:ascii="Arial Narrow" w:hAnsi="Arial Narrow"/>
          <w:sz w:val="24"/>
          <w:szCs w:val="24"/>
        </w:rPr>
      </w:pPr>
    </w:p>
    <w:p w14:paraId="6BF8AFC0" w14:textId="197F4A17" w:rsidR="00684B9E" w:rsidRPr="00861A89" w:rsidRDefault="00716974" w:rsidP="00040429">
      <w:pPr>
        <w:spacing w:after="0" w:line="240" w:lineRule="auto"/>
        <w:jc w:val="both"/>
        <w:rPr>
          <w:rFonts w:ascii="Arial Narrow" w:hAnsi="Arial Narrow"/>
          <w:sz w:val="24"/>
          <w:szCs w:val="24"/>
        </w:rPr>
      </w:pPr>
      <w:r>
        <w:rPr>
          <w:rFonts w:ascii="Arial Narrow" w:hAnsi="Arial Narrow"/>
          <w:sz w:val="24"/>
          <w:szCs w:val="24"/>
        </w:rPr>
        <w:t>S</w:t>
      </w:r>
      <w:r w:rsidR="002D4E09" w:rsidRPr="00861A89">
        <w:rPr>
          <w:rFonts w:ascii="Arial Narrow" w:hAnsi="Arial Narrow"/>
          <w:sz w:val="24"/>
          <w:szCs w:val="24"/>
        </w:rPr>
        <w:t>tate</w:t>
      </w:r>
      <w:r w:rsidR="001535BB" w:rsidRPr="00861A89">
        <w:rPr>
          <w:rFonts w:ascii="Arial Narrow" w:hAnsi="Arial Narrow"/>
          <w:sz w:val="24"/>
          <w:szCs w:val="24"/>
        </w:rPr>
        <w:t xml:space="preserve"> </w:t>
      </w:r>
      <w:r w:rsidR="003C7AAD">
        <w:rPr>
          <w:rFonts w:ascii="Arial Narrow" w:hAnsi="Arial Narrow"/>
          <w:sz w:val="24"/>
          <w:szCs w:val="24"/>
        </w:rPr>
        <w:t xml:space="preserve">the </w:t>
      </w:r>
      <w:r w:rsidR="00913660">
        <w:rPr>
          <w:rFonts w:ascii="Arial Narrow" w:hAnsi="Arial Narrow"/>
          <w:sz w:val="24"/>
          <w:szCs w:val="24"/>
        </w:rPr>
        <w:t>site’s</w:t>
      </w:r>
      <w:r w:rsidR="001F668C" w:rsidRPr="00861A89">
        <w:rPr>
          <w:rFonts w:ascii="Arial Narrow" w:hAnsi="Arial Narrow"/>
          <w:sz w:val="24"/>
          <w:szCs w:val="24"/>
        </w:rPr>
        <w:t xml:space="preserve"> </w:t>
      </w:r>
      <w:r w:rsidRPr="003C7AAD">
        <w:rPr>
          <w:rFonts w:ascii="Arial Narrow" w:hAnsi="Arial Narrow"/>
          <w:sz w:val="24"/>
          <w:szCs w:val="24"/>
          <w:u w:val="single"/>
        </w:rPr>
        <w:t>prospective</w:t>
      </w:r>
      <w:r>
        <w:rPr>
          <w:rFonts w:ascii="Arial Narrow" w:hAnsi="Arial Narrow"/>
          <w:sz w:val="24"/>
          <w:szCs w:val="24"/>
        </w:rPr>
        <w:t xml:space="preserve"> </w:t>
      </w:r>
      <w:r w:rsidR="001535BB" w:rsidRPr="00861A89">
        <w:rPr>
          <w:rFonts w:ascii="Arial Narrow" w:hAnsi="Arial Narrow"/>
          <w:sz w:val="24"/>
          <w:szCs w:val="24"/>
        </w:rPr>
        <w:t>address</w:t>
      </w:r>
      <w:r w:rsidR="00711882">
        <w:rPr>
          <w:rFonts w:ascii="Arial Narrow" w:hAnsi="Arial Narrow"/>
          <w:sz w:val="24"/>
          <w:szCs w:val="24"/>
        </w:rPr>
        <w:t xml:space="preserve"> or location</w:t>
      </w:r>
      <w:r w:rsidR="00A5737E">
        <w:rPr>
          <w:rFonts w:ascii="Arial Narrow" w:hAnsi="Arial Narrow"/>
          <w:sz w:val="24"/>
          <w:szCs w:val="24"/>
        </w:rPr>
        <w:t xml:space="preserve"> below</w:t>
      </w:r>
      <w:r w:rsidR="00684B9E" w:rsidRPr="00861A89">
        <w:rPr>
          <w:rFonts w:ascii="Arial Narrow" w:hAnsi="Arial Narrow"/>
          <w:sz w:val="24"/>
          <w:szCs w:val="24"/>
        </w:rPr>
        <w:t xml:space="preserve">. </w:t>
      </w:r>
      <w:r w:rsidR="00702E2D">
        <w:rPr>
          <w:rFonts w:ascii="Arial Narrow" w:hAnsi="Arial Narrow"/>
          <w:sz w:val="24"/>
          <w:szCs w:val="24"/>
        </w:rPr>
        <w:t>If the address is uncertain, d</w:t>
      </w:r>
      <w:r w:rsidR="00684B9E" w:rsidRPr="00861A89">
        <w:rPr>
          <w:rFonts w:ascii="Arial Narrow" w:hAnsi="Arial Narrow"/>
          <w:sz w:val="24"/>
          <w:szCs w:val="24"/>
        </w:rPr>
        <w:t xml:space="preserve">escribe </w:t>
      </w:r>
      <w:r w:rsidR="003C7AAD">
        <w:rPr>
          <w:rFonts w:ascii="Arial Narrow" w:hAnsi="Arial Narrow"/>
          <w:sz w:val="24"/>
          <w:szCs w:val="24"/>
        </w:rPr>
        <w:t xml:space="preserve">the </w:t>
      </w:r>
      <w:r w:rsidR="00684B9E" w:rsidRPr="00861A89">
        <w:rPr>
          <w:rFonts w:ascii="Arial Narrow" w:hAnsi="Arial Narrow"/>
          <w:sz w:val="24"/>
          <w:szCs w:val="24"/>
        </w:rPr>
        <w:t>site</w:t>
      </w:r>
      <w:r w:rsidR="001B5EF0" w:rsidRPr="00861A89">
        <w:rPr>
          <w:rFonts w:ascii="Arial Narrow" w:hAnsi="Arial Narrow"/>
          <w:sz w:val="24"/>
          <w:szCs w:val="24"/>
        </w:rPr>
        <w:t>’s location</w:t>
      </w:r>
      <w:r w:rsidR="00F70F56">
        <w:rPr>
          <w:rFonts w:ascii="Arial Narrow" w:hAnsi="Arial Narrow"/>
          <w:sz w:val="24"/>
          <w:szCs w:val="24"/>
        </w:rPr>
        <w:t>,</w:t>
      </w:r>
      <w:r>
        <w:rPr>
          <w:rFonts w:ascii="Arial Narrow" w:hAnsi="Arial Narrow"/>
          <w:sz w:val="24"/>
          <w:szCs w:val="24"/>
        </w:rPr>
        <w:t xml:space="preserve"> with precision, </w:t>
      </w:r>
      <w:r w:rsidR="00702E2D">
        <w:rPr>
          <w:rFonts w:ascii="Arial Narrow" w:hAnsi="Arial Narrow"/>
          <w:sz w:val="24"/>
          <w:szCs w:val="24"/>
        </w:rPr>
        <w:t xml:space="preserve">according to </w:t>
      </w:r>
      <w:proofErr w:type="gramStart"/>
      <w:r w:rsidR="00702E2D">
        <w:rPr>
          <w:rFonts w:ascii="Arial Narrow" w:hAnsi="Arial Narrow"/>
          <w:sz w:val="24"/>
          <w:szCs w:val="24"/>
        </w:rPr>
        <w:t>all of</w:t>
      </w:r>
      <w:proofErr w:type="gramEnd"/>
      <w:r w:rsidR="00702E2D">
        <w:rPr>
          <w:rFonts w:ascii="Arial Narrow" w:hAnsi="Arial Narrow"/>
          <w:sz w:val="24"/>
          <w:szCs w:val="24"/>
        </w:rPr>
        <w:t xml:space="preserve"> the following guidelines</w:t>
      </w:r>
      <w:r w:rsidR="00684B9E" w:rsidRPr="00861A89">
        <w:rPr>
          <w:rFonts w:ascii="Arial Narrow" w:hAnsi="Arial Narrow"/>
          <w:sz w:val="24"/>
          <w:szCs w:val="24"/>
        </w:rPr>
        <w:t>:</w:t>
      </w:r>
    </w:p>
    <w:p w14:paraId="3E7B55F5" w14:textId="236D8334" w:rsidR="007C70F8" w:rsidRPr="00861A89" w:rsidRDefault="00CE5E0E" w:rsidP="00CE5E0E">
      <w:pPr>
        <w:numPr>
          <w:ilvl w:val="0"/>
          <w:numId w:val="1"/>
        </w:numPr>
        <w:spacing w:after="0" w:line="240" w:lineRule="auto"/>
        <w:ind w:left="360" w:hanging="180"/>
        <w:jc w:val="both"/>
        <w:rPr>
          <w:rFonts w:ascii="Arial Narrow" w:hAnsi="Arial Narrow"/>
          <w:sz w:val="24"/>
          <w:szCs w:val="24"/>
        </w:rPr>
      </w:pPr>
      <w:r w:rsidRPr="00861A89">
        <w:rPr>
          <w:rFonts w:ascii="Arial Narrow" w:hAnsi="Arial Narrow"/>
          <w:sz w:val="24"/>
          <w:szCs w:val="24"/>
        </w:rPr>
        <w:t xml:space="preserve">Identify site’s </w:t>
      </w:r>
      <w:r w:rsidR="00ED3530" w:rsidRPr="00861A89">
        <w:rPr>
          <w:rFonts w:ascii="Arial Narrow" w:hAnsi="Arial Narrow"/>
          <w:sz w:val="24"/>
          <w:szCs w:val="24"/>
        </w:rPr>
        <w:t>location</w:t>
      </w:r>
      <w:r w:rsidR="007C70F8" w:rsidRPr="00861A89">
        <w:rPr>
          <w:rFonts w:ascii="Arial Narrow" w:hAnsi="Arial Narrow"/>
          <w:sz w:val="24"/>
          <w:szCs w:val="24"/>
        </w:rPr>
        <w:t xml:space="preserve"> on </w:t>
      </w:r>
      <w:r w:rsidR="007D4113" w:rsidRPr="00861A89">
        <w:rPr>
          <w:rFonts w:ascii="Arial Narrow" w:hAnsi="Arial Narrow"/>
          <w:sz w:val="24"/>
          <w:szCs w:val="24"/>
        </w:rPr>
        <w:t xml:space="preserve">its roadway </w:t>
      </w:r>
      <w:r w:rsidR="001B5EF0" w:rsidRPr="00861A89">
        <w:rPr>
          <w:rFonts w:ascii="Arial Narrow" w:hAnsi="Arial Narrow"/>
          <w:sz w:val="24"/>
          <w:szCs w:val="24"/>
        </w:rPr>
        <w:t xml:space="preserve">as </w:t>
      </w:r>
      <w:r w:rsidRPr="00861A89">
        <w:rPr>
          <w:rFonts w:ascii="Arial Narrow" w:hAnsi="Arial Narrow"/>
          <w:sz w:val="24"/>
          <w:szCs w:val="24"/>
        </w:rPr>
        <w:t>“NS” for north side</w:t>
      </w:r>
      <w:r w:rsidR="007C70F8" w:rsidRPr="00861A89">
        <w:rPr>
          <w:rFonts w:ascii="Arial Narrow" w:hAnsi="Arial Narrow"/>
          <w:sz w:val="24"/>
          <w:szCs w:val="24"/>
        </w:rPr>
        <w:t>,</w:t>
      </w:r>
      <w:r w:rsidR="00C416F1" w:rsidRPr="00861A89">
        <w:rPr>
          <w:rFonts w:ascii="Arial Narrow" w:hAnsi="Arial Narrow"/>
          <w:sz w:val="24"/>
          <w:szCs w:val="24"/>
        </w:rPr>
        <w:t xml:space="preserve"> “</w:t>
      </w:r>
      <w:r w:rsidRPr="00861A89">
        <w:rPr>
          <w:rFonts w:ascii="Arial Narrow" w:hAnsi="Arial Narrow"/>
          <w:sz w:val="24"/>
          <w:szCs w:val="24"/>
        </w:rPr>
        <w:t>SE</w:t>
      </w:r>
      <w:r w:rsidR="00C416F1" w:rsidRPr="00861A89">
        <w:rPr>
          <w:rFonts w:ascii="Arial Narrow" w:hAnsi="Arial Narrow"/>
          <w:sz w:val="24"/>
          <w:szCs w:val="24"/>
        </w:rPr>
        <w:t>S” for south</w:t>
      </w:r>
      <w:r w:rsidRPr="00861A89">
        <w:rPr>
          <w:rFonts w:ascii="Arial Narrow" w:hAnsi="Arial Narrow"/>
          <w:sz w:val="24"/>
          <w:szCs w:val="24"/>
        </w:rPr>
        <w:t>e</w:t>
      </w:r>
      <w:r w:rsidR="00C416F1" w:rsidRPr="00861A89">
        <w:rPr>
          <w:rFonts w:ascii="Arial Narrow" w:hAnsi="Arial Narrow"/>
          <w:sz w:val="24"/>
          <w:szCs w:val="24"/>
        </w:rPr>
        <w:t>a</w:t>
      </w:r>
      <w:r w:rsidRPr="00861A89">
        <w:rPr>
          <w:rFonts w:ascii="Arial Narrow" w:hAnsi="Arial Narrow"/>
          <w:sz w:val="24"/>
          <w:szCs w:val="24"/>
        </w:rPr>
        <w:t xml:space="preserve">st </w:t>
      </w:r>
      <w:r w:rsidR="00C416F1" w:rsidRPr="00861A89">
        <w:rPr>
          <w:rFonts w:ascii="Arial Narrow" w:hAnsi="Arial Narrow"/>
          <w:sz w:val="24"/>
          <w:szCs w:val="24"/>
        </w:rPr>
        <w:t>side</w:t>
      </w:r>
      <w:r w:rsidR="007C70F8" w:rsidRPr="00861A89">
        <w:rPr>
          <w:rFonts w:ascii="Arial Narrow" w:hAnsi="Arial Narrow"/>
          <w:sz w:val="24"/>
          <w:szCs w:val="24"/>
        </w:rPr>
        <w:t xml:space="preserve">, “NEC” for northeast corner, </w:t>
      </w:r>
      <w:r w:rsidR="00F70F56">
        <w:rPr>
          <w:rFonts w:ascii="Arial Narrow" w:hAnsi="Arial Narrow"/>
          <w:sz w:val="24"/>
          <w:szCs w:val="24"/>
        </w:rPr>
        <w:t xml:space="preserve">or </w:t>
      </w:r>
      <w:r w:rsidR="00913660" w:rsidRPr="00861A89">
        <w:rPr>
          <w:rFonts w:ascii="Arial Narrow" w:hAnsi="Arial Narrow"/>
          <w:sz w:val="24"/>
          <w:szCs w:val="24"/>
        </w:rPr>
        <w:t>“</w:t>
      </w:r>
      <w:r w:rsidR="00913660">
        <w:rPr>
          <w:rFonts w:ascii="Arial Narrow" w:hAnsi="Arial Narrow"/>
          <w:sz w:val="24"/>
          <w:szCs w:val="24"/>
        </w:rPr>
        <w:t>w</w:t>
      </w:r>
      <w:r w:rsidR="00913660" w:rsidRPr="00861A89">
        <w:rPr>
          <w:rFonts w:ascii="Arial Narrow" w:hAnsi="Arial Narrow"/>
          <w:sz w:val="24"/>
          <w:szCs w:val="24"/>
        </w:rPr>
        <w:t xml:space="preserve">raps NEC” </w:t>
      </w:r>
      <w:r w:rsidR="00913660">
        <w:rPr>
          <w:rFonts w:ascii="Arial Narrow" w:hAnsi="Arial Narrow"/>
          <w:sz w:val="24"/>
          <w:szCs w:val="24"/>
        </w:rPr>
        <w:t xml:space="preserve">if </w:t>
      </w:r>
      <w:r w:rsidR="00913660" w:rsidRPr="00861A89">
        <w:rPr>
          <w:rFonts w:ascii="Arial Narrow" w:hAnsi="Arial Narrow"/>
          <w:sz w:val="24"/>
          <w:szCs w:val="24"/>
        </w:rPr>
        <w:t>site surrounds but does not include a corner</w:t>
      </w:r>
      <w:r w:rsidR="00F70F56">
        <w:rPr>
          <w:rFonts w:ascii="Arial Narrow" w:hAnsi="Arial Narrow"/>
          <w:sz w:val="24"/>
          <w:szCs w:val="24"/>
        </w:rPr>
        <w:t>, etc</w:t>
      </w:r>
      <w:r w:rsidR="0098463C">
        <w:rPr>
          <w:rFonts w:ascii="Arial Narrow" w:hAnsi="Arial Narrow"/>
          <w:sz w:val="24"/>
          <w:szCs w:val="24"/>
        </w:rPr>
        <w:t xml:space="preserve">. </w:t>
      </w:r>
      <w:r w:rsidR="00CD5C44">
        <w:rPr>
          <w:rFonts w:ascii="Arial Narrow" w:hAnsi="Arial Narrow"/>
          <w:sz w:val="24"/>
          <w:szCs w:val="24"/>
        </w:rPr>
        <w:t>A</w:t>
      </w:r>
      <w:r w:rsidR="00FD0D92">
        <w:rPr>
          <w:rFonts w:ascii="Arial Narrow" w:hAnsi="Arial Narrow"/>
          <w:sz w:val="24"/>
          <w:szCs w:val="24"/>
        </w:rPr>
        <w:t xml:space="preserve">lways specify the site’s location in terms of its road frontage and distance from the nearest intersection or </w:t>
      </w:r>
      <w:r w:rsidR="00F70F56">
        <w:rPr>
          <w:rFonts w:ascii="Arial Narrow" w:hAnsi="Arial Narrow"/>
          <w:sz w:val="24"/>
          <w:szCs w:val="24"/>
        </w:rPr>
        <w:t xml:space="preserve">mapped </w:t>
      </w:r>
      <w:r w:rsidR="00FD0D92">
        <w:rPr>
          <w:rFonts w:ascii="Arial Narrow" w:hAnsi="Arial Narrow"/>
          <w:sz w:val="24"/>
          <w:szCs w:val="24"/>
        </w:rPr>
        <w:t>landmark, e.g., railroad, creek/river, school campus driveway, etc.</w:t>
      </w:r>
      <w:r w:rsidR="00F70F56">
        <w:rPr>
          <w:rFonts w:ascii="Arial Narrow" w:hAnsi="Arial Narrow"/>
          <w:sz w:val="24"/>
          <w:szCs w:val="24"/>
        </w:rPr>
        <w:t>,</w:t>
      </w:r>
      <w:r w:rsidR="00FD0D92" w:rsidRPr="00861A89">
        <w:rPr>
          <w:rFonts w:ascii="Arial Narrow" w:hAnsi="Arial Narrow"/>
          <w:sz w:val="24"/>
          <w:szCs w:val="24"/>
        </w:rPr>
        <w:t xml:space="preserve"> </w:t>
      </w:r>
      <w:r w:rsidR="00FD0D92">
        <w:rPr>
          <w:rFonts w:ascii="Arial Narrow" w:hAnsi="Arial Narrow"/>
          <w:sz w:val="24"/>
          <w:szCs w:val="24"/>
        </w:rPr>
        <w:t xml:space="preserve">to the nearest point of the site’s </w:t>
      </w:r>
      <w:r w:rsidR="00F70F56">
        <w:rPr>
          <w:rFonts w:ascii="Arial Narrow" w:hAnsi="Arial Narrow"/>
          <w:sz w:val="24"/>
          <w:szCs w:val="24"/>
        </w:rPr>
        <w:t>ROW</w:t>
      </w:r>
      <w:r w:rsidR="00FD0D92">
        <w:rPr>
          <w:rFonts w:ascii="Arial Narrow" w:hAnsi="Arial Narrow"/>
          <w:sz w:val="24"/>
          <w:szCs w:val="24"/>
        </w:rPr>
        <w:t xml:space="preserve"> frontage. </w:t>
      </w:r>
      <w:r w:rsidR="0098463C">
        <w:rPr>
          <w:rFonts w:ascii="Arial Narrow" w:hAnsi="Arial Narrow"/>
          <w:sz w:val="24"/>
          <w:szCs w:val="24"/>
        </w:rPr>
        <w:t>Only if the site does not have frontage on an existing road</w:t>
      </w:r>
      <w:r w:rsidR="00913660">
        <w:rPr>
          <w:rFonts w:ascii="Arial Narrow" w:hAnsi="Arial Narrow"/>
          <w:sz w:val="24"/>
          <w:szCs w:val="24"/>
        </w:rPr>
        <w:t xml:space="preserve">, </w:t>
      </w:r>
      <w:r w:rsidR="0098463C">
        <w:rPr>
          <w:rFonts w:ascii="Arial Narrow" w:hAnsi="Arial Narrow"/>
          <w:sz w:val="24"/>
          <w:szCs w:val="24"/>
        </w:rPr>
        <w:t>use</w:t>
      </w:r>
      <w:r w:rsidR="00FD0D92">
        <w:rPr>
          <w:rFonts w:ascii="Arial Narrow" w:hAnsi="Arial Narrow"/>
          <w:sz w:val="24"/>
          <w:szCs w:val="24"/>
        </w:rPr>
        <w:t xml:space="preserve"> </w:t>
      </w:r>
      <w:proofErr w:type="gramStart"/>
      <w:r w:rsidR="00FD0D92">
        <w:rPr>
          <w:rFonts w:ascii="Arial Narrow" w:hAnsi="Arial Narrow"/>
          <w:sz w:val="24"/>
          <w:szCs w:val="24"/>
        </w:rPr>
        <w:t>less</w:t>
      </w:r>
      <w:proofErr w:type="gramEnd"/>
      <w:r w:rsidR="00FD0D92">
        <w:rPr>
          <w:rFonts w:ascii="Arial Narrow" w:hAnsi="Arial Narrow"/>
          <w:sz w:val="24"/>
          <w:szCs w:val="24"/>
        </w:rPr>
        <w:t xml:space="preserve"> specific descriptors</w:t>
      </w:r>
      <w:r w:rsidR="00F70F56">
        <w:rPr>
          <w:rFonts w:ascii="Arial Narrow" w:hAnsi="Arial Narrow"/>
          <w:sz w:val="24"/>
          <w:szCs w:val="24"/>
        </w:rPr>
        <w:t>,</w:t>
      </w:r>
      <w:r w:rsidR="00FD0D92">
        <w:rPr>
          <w:rFonts w:ascii="Arial Narrow" w:hAnsi="Arial Narrow"/>
          <w:sz w:val="24"/>
          <w:szCs w:val="24"/>
        </w:rPr>
        <w:t xml:space="preserve"> such as </w:t>
      </w:r>
      <w:r w:rsidR="0098463C">
        <w:rPr>
          <w:rFonts w:ascii="Arial Narrow" w:hAnsi="Arial Narrow"/>
          <w:sz w:val="24"/>
          <w:szCs w:val="24"/>
        </w:rPr>
        <w:t>“</w:t>
      </w:r>
      <w:r w:rsidR="0098463C" w:rsidRPr="00861A89">
        <w:rPr>
          <w:rFonts w:ascii="Arial Narrow" w:hAnsi="Arial Narrow"/>
          <w:sz w:val="24"/>
          <w:szCs w:val="24"/>
        </w:rPr>
        <w:t>NEQ</w:t>
      </w:r>
      <w:r w:rsidR="0098463C">
        <w:rPr>
          <w:rFonts w:ascii="Arial Narrow" w:hAnsi="Arial Narrow"/>
          <w:sz w:val="24"/>
          <w:szCs w:val="24"/>
        </w:rPr>
        <w:t>”</w:t>
      </w:r>
      <w:r w:rsidR="0098463C" w:rsidRPr="00861A89">
        <w:rPr>
          <w:rFonts w:ascii="Arial Narrow" w:hAnsi="Arial Narrow"/>
          <w:sz w:val="24"/>
          <w:szCs w:val="24"/>
        </w:rPr>
        <w:t xml:space="preserve"> for </w:t>
      </w:r>
      <w:r w:rsidR="0098463C">
        <w:rPr>
          <w:rFonts w:ascii="Arial Narrow" w:hAnsi="Arial Narrow"/>
          <w:sz w:val="24"/>
          <w:szCs w:val="24"/>
        </w:rPr>
        <w:t xml:space="preserve">the </w:t>
      </w:r>
      <w:r w:rsidR="0098463C" w:rsidRPr="00861A89">
        <w:rPr>
          <w:rFonts w:ascii="Arial Narrow" w:hAnsi="Arial Narrow"/>
          <w:sz w:val="24"/>
          <w:szCs w:val="24"/>
        </w:rPr>
        <w:t>northeast quadrant</w:t>
      </w:r>
      <w:r w:rsidR="0098463C">
        <w:rPr>
          <w:rFonts w:ascii="Arial Narrow" w:hAnsi="Arial Narrow"/>
          <w:sz w:val="24"/>
          <w:szCs w:val="24"/>
        </w:rPr>
        <w:t xml:space="preserve"> of an intersection</w:t>
      </w:r>
      <w:r w:rsidR="0098463C" w:rsidRPr="00861A89">
        <w:rPr>
          <w:rFonts w:ascii="Arial Narrow" w:hAnsi="Arial Narrow"/>
          <w:sz w:val="24"/>
          <w:szCs w:val="24"/>
        </w:rPr>
        <w:t>,</w:t>
      </w:r>
      <w:r w:rsidR="0098463C">
        <w:rPr>
          <w:rFonts w:ascii="Arial Narrow" w:hAnsi="Arial Narrow"/>
          <w:sz w:val="24"/>
          <w:szCs w:val="24"/>
        </w:rPr>
        <w:t xml:space="preserve"> </w:t>
      </w:r>
      <w:r w:rsidR="00FD0D92">
        <w:rPr>
          <w:rFonts w:ascii="Arial Narrow" w:hAnsi="Arial Narrow"/>
          <w:sz w:val="24"/>
          <w:szCs w:val="24"/>
        </w:rPr>
        <w:t>etc.</w:t>
      </w:r>
    </w:p>
    <w:p w14:paraId="1C9D5F90" w14:textId="77777777" w:rsidR="005148F3" w:rsidRPr="00861A89" w:rsidRDefault="003C7AAD" w:rsidP="00CE5E0E">
      <w:pPr>
        <w:numPr>
          <w:ilvl w:val="0"/>
          <w:numId w:val="1"/>
        </w:numPr>
        <w:spacing w:after="0" w:line="240" w:lineRule="auto"/>
        <w:ind w:left="360" w:hanging="180"/>
        <w:jc w:val="both"/>
        <w:rPr>
          <w:rFonts w:ascii="Arial Narrow" w:hAnsi="Arial Narrow"/>
          <w:sz w:val="24"/>
          <w:szCs w:val="24"/>
        </w:rPr>
      </w:pPr>
      <w:r>
        <w:rPr>
          <w:rFonts w:ascii="Arial Narrow" w:hAnsi="Arial Narrow"/>
          <w:sz w:val="24"/>
          <w:szCs w:val="24"/>
        </w:rPr>
        <w:t>State</w:t>
      </w:r>
      <w:r w:rsidR="00CE5E0E" w:rsidRPr="00861A89">
        <w:rPr>
          <w:rFonts w:ascii="Arial Narrow" w:hAnsi="Arial Narrow"/>
          <w:sz w:val="24"/>
          <w:szCs w:val="24"/>
        </w:rPr>
        <w:t xml:space="preserve"> the </w:t>
      </w:r>
      <w:r w:rsidR="00684B9E" w:rsidRPr="00861A89">
        <w:rPr>
          <w:rFonts w:ascii="Arial Narrow" w:hAnsi="Arial Narrow"/>
          <w:sz w:val="24"/>
          <w:szCs w:val="24"/>
        </w:rPr>
        <w:t>block n</w:t>
      </w:r>
      <w:r w:rsidR="005148F3" w:rsidRPr="00861A89">
        <w:rPr>
          <w:rFonts w:ascii="Arial Narrow" w:hAnsi="Arial Narrow"/>
          <w:sz w:val="24"/>
          <w:szCs w:val="24"/>
        </w:rPr>
        <w:t>umber of the site</w:t>
      </w:r>
      <w:r w:rsidR="007D4113" w:rsidRPr="00861A89">
        <w:rPr>
          <w:rFonts w:ascii="Arial Narrow" w:hAnsi="Arial Narrow"/>
          <w:sz w:val="24"/>
          <w:szCs w:val="24"/>
        </w:rPr>
        <w:t>,</w:t>
      </w:r>
      <w:r w:rsidR="00ED3530" w:rsidRPr="00861A89">
        <w:rPr>
          <w:rFonts w:ascii="Arial Narrow" w:hAnsi="Arial Narrow"/>
          <w:sz w:val="24"/>
          <w:szCs w:val="24"/>
        </w:rPr>
        <w:t xml:space="preserve"> but </w:t>
      </w:r>
      <w:r>
        <w:rPr>
          <w:rFonts w:ascii="Arial Narrow" w:hAnsi="Arial Narrow"/>
          <w:sz w:val="24"/>
          <w:szCs w:val="24"/>
        </w:rPr>
        <w:t>only if it is</w:t>
      </w:r>
      <w:r w:rsidR="007D4113" w:rsidRPr="00861A89">
        <w:rPr>
          <w:rFonts w:ascii="Arial Narrow" w:hAnsi="Arial Narrow"/>
          <w:sz w:val="24"/>
          <w:szCs w:val="24"/>
        </w:rPr>
        <w:t xml:space="preserve"> known with certainty</w:t>
      </w:r>
      <w:r w:rsidR="005148F3" w:rsidRPr="00861A89">
        <w:rPr>
          <w:rFonts w:ascii="Arial Narrow" w:hAnsi="Arial Narrow"/>
          <w:sz w:val="24"/>
          <w:szCs w:val="24"/>
        </w:rPr>
        <w:t>.</w:t>
      </w:r>
    </w:p>
    <w:p w14:paraId="5C67DCB2" w14:textId="77777777" w:rsidR="00861A89" w:rsidRPr="002E4190" w:rsidRDefault="002E4190" w:rsidP="006F4624">
      <w:pPr>
        <w:numPr>
          <w:ilvl w:val="0"/>
          <w:numId w:val="1"/>
        </w:numPr>
        <w:spacing w:after="0" w:line="240" w:lineRule="auto"/>
        <w:ind w:left="360" w:hanging="180"/>
        <w:jc w:val="both"/>
        <w:rPr>
          <w:rFonts w:ascii="Arial Narrow" w:hAnsi="Arial Narrow"/>
          <w:sz w:val="24"/>
          <w:szCs w:val="24"/>
        </w:rPr>
      </w:pPr>
      <w:r w:rsidRPr="002E4190">
        <w:rPr>
          <w:rFonts w:ascii="Arial Narrow" w:hAnsi="Arial Narrow"/>
          <w:b/>
          <w:sz w:val="24"/>
          <w:szCs w:val="24"/>
          <w:u w:val="single"/>
        </w:rPr>
        <w:t>IMPOR</w:t>
      </w:r>
      <w:r w:rsidR="00D87B07">
        <w:rPr>
          <w:rFonts w:ascii="Arial Narrow" w:hAnsi="Arial Narrow"/>
          <w:b/>
          <w:sz w:val="24"/>
          <w:szCs w:val="24"/>
          <w:u w:val="single"/>
        </w:rPr>
        <w:t>T</w:t>
      </w:r>
      <w:r w:rsidRPr="002E4190">
        <w:rPr>
          <w:rFonts w:ascii="Arial Narrow" w:hAnsi="Arial Narrow"/>
          <w:b/>
          <w:sz w:val="24"/>
          <w:szCs w:val="24"/>
          <w:u w:val="single"/>
        </w:rPr>
        <w:t>ANT</w:t>
      </w:r>
      <w:r w:rsidRPr="002E4190">
        <w:rPr>
          <w:rFonts w:ascii="Arial Narrow" w:hAnsi="Arial Narrow"/>
          <w:sz w:val="24"/>
          <w:szCs w:val="24"/>
        </w:rPr>
        <w:t xml:space="preserve">: </w:t>
      </w:r>
      <w:r w:rsidR="000F4F71" w:rsidRPr="002E4190">
        <w:rPr>
          <w:rFonts w:ascii="Arial Narrow" w:hAnsi="Arial Narrow"/>
          <w:sz w:val="24"/>
          <w:szCs w:val="24"/>
        </w:rPr>
        <w:t xml:space="preserve">If the </w:t>
      </w:r>
      <w:r w:rsidR="001B5EF0" w:rsidRPr="002E4190">
        <w:rPr>
          <w:rFonts w:ascii="Arial Narrow" w:hAnsi="Arial Narrow"/>
          <w:sz w:val="24"/>
          <w:szCs w:val="24"/>
        </w:rPr>
        <w:t xml:space="preserve">address </w:t>
      </w:r>
      <w:r w:rsidR="007D4113" w:rsidRPr="002E4190">
        <w:rPr>
          <w:rFonts w:ascii="Arial Narrow" w:hAnsi="Arial Narrow"/>
          <w:sz w:val="24"/>
          <w:szCs w:val="24"/>
        </w:rPr>
        <w:t xml:space="preserve">number </w:t>
      </w:r>
      <w:r w:rsidR="001B5EF0" w:rsidRPr="002E4190">
        <w:rPr>
          <w:rFonts w:ascii="Arial Narrow" w:hAnsi="Arial Narrow"/>
          <w:sz w:val="24"/>
          <w:szCs w:val="24"/>
        </w:rPr>
        <w:t xml:space="preserve">or </w:t>
      </w:r>
      <w:r w:rsidR="000F4F71" w:rsidRPr="002E4190">
        <w:rPr>
          <w:rFonts w:ascii="Arial Narrow" w:hAnsi="Arial Narrow"/>
          <w:sz w:val="24"/>
          <w:szCs w:val="24"/>
        </w:rPr>
        <w:t xml:space="preserve">block number </w:t>
      </w:r>
      <w:r w:rsidR="00ED3530" w:rsidRPr="002E4190">
        <w:rPr>
          <w:rFonts w:ascii="Arial Narrow" w:hAnsi="Arial Narrow"/>
          <w:sz w:val="24"/>
          <w:szCs w:val="24"/>
        </w:rPr>
        <w:t>are</w:t>
      </w:r>
      <w:r w:rsidR="000F4F71" w:rsidRPr="002E4190">
        <w:rPr>
          <w:rFonts w:ascii="Arial Narrow" w:hAnsi="Arial Narrow"/>
          <w:sz w:val="24"/>
          <w:szCs w:val="24"/>
        </w:rPr>
        <w:t xml:space="preserve"> not known</w:t>
      </w:r>
      <w:r w:rsidR="00211980" w:rsidRPr="002E4190">
        <w:rPr>
          <w:rFonts w:ascii="Arial Narrow" w:hAnsi="Arial Narrow"/>
          <w:sz w:val="24"/>
          <w:szCs w:val="24"/>
        </w:rPr>
        <w:t xml:space="preserve"> </w:t>
      </w:r>
      <w:r w:rsidRPr="002E4190">
        <w:rPr>
          <w:rFonts w:ascii="Arial Narrow" w:hAnsi="Arial Narrow"/>
          <w:sz w:val="24"/>
          <w:szCs w:val="24"/>
        </w:rPr>
        <w:t xml:space="preserve">with certainty </w:t>
      </w:r>
      <w:r w:rsidR="00211980" w:rsidRPr="002E4190">
        <w:rPr>
          <w:rFonts w:ascii="Arial Narrow" w:hAnsi="Arial Narrow"/>
          <w:sz w:val="24"/>
          <w:szCs w:val="24"/>
        </w:rPr>
        <w:t>or if there is more than one block</w:t>
      </w:r>
      <w:r w:rsidR="00A5737E" w:rsidRPr="002E4190">
        <w:rPr>
          <w:rFonts w:ascii="Arial Narrow" w:hAnsi="Arial Narrow"/>
          <w:sz w:val="24"/>
          <w:szCs w:val="24"/>
        </w:rPr>
        <w:t xml:space="preserve"> number</w:t>
      </w:r>
      <w:r w:rsidR="00211980" w:rsidRPr="002E4190">
        <w:rPr>
          <w:rFonts w:ascii="Arial Narrow" w:hAnsi="Arial Narrow"/>
          <w:sz w:val="24"/>
          <w:szCs w:val="24"/>
        </w:rPr>
        <w:t xml:space="preserve"> between intersections</w:t>
      </w:r>
      <w:r w:rsidR="000F4F71" w:rsidRPr="002E4190">
        <w:rPr>
          <w:rFonts w:ascii="Arial Narrow" w:hAnsi="Arial Narrow"/>
          <w:sz w:val="24"/>
          <w:szCs w:val="24"/>
        </w:rPr>
        <w:t>, state</w:t>
      </w:r>
      <w:r w:rsidR="005148F3" w:rsidRPr="002E4190">
        <w:rPr>
          <w:rFonts w:ascii="Arial Narrow" w:hAnsi="Arial Narrow"/>
          <w:sz w:val="24"/>
          <w:szCs w:val="24"/>
        </w:rPr>
        <w:t xml:space="preserve"> the </w:t>
      </w:r>
      <w:r w:rsidR="00684B9E" w:rsidRPr="002E4190">
        <w:rPr>
          <w:rFonts w:ascii="Arial Narrow" w:hAnsi="Arial Narrow"/>
          <w:sz w:val="24"/>
          <w:szCs w:val="24"/>
        </w:rPr>
        <w:t>distance in feet</w:t>
      </w:r>
      <w:r w:rsidR="00ED3530" w:rsidRPr="002E4190">
        <w:rPr>
          <w:rFonts w:ascii="Arial Narrow" w:hAnsi="Arial Narrow"/>
          <w:sz w:val="24"/>
          <w:szCs w:val="24"/>
        </w:rPr>
        <w:t>, blocks</w:t>
      </w:r>
      <w:r w:rsidR="00684B9E" w:rsidRPr="002E4190">
        <w:rPr>
          <w:rFonts w:ascii="Arial Narrow" w:hAnsi="Arial Narrow"/>
          <w:sz w:val="24"/>
          <w:szCs w:val="24"/>
        </w:rPr>
        <w:t xml:space="preserve"> or </w:t>
      </w:r>
      <w:r w:rsidR="00D234A7" w:rsidRPr="002E4190">
        <w:rPr>
          <w:rFonts w:ascii="Arial Narrow" w:hAnsi="Arial Narrow"/>
          <w:sz w:val="24"/>
          <w:szCs w:val="24"/>
        </w:rPr>
        <w:t>fraction</w:t>
      </w:r>
      <w:r w:rsidRPr="002E4190">
        <w:rPr>
          <w:rFonts w:ascii="Arial Narrow" w:hAnsi="Arial Narrow"/>
          <w:sz w:val="24"/>
          <w:szCs w:val="24"/>
        </w:rPr>
        <w:t>al</w:t>
      </w:r>
      <w:r w:rsidR="00D234A7" w:rsidRPr="002E4190">
        <w:rPr>
          <w:rFonts w:ascii="Arial Narrow" w:hAnsi="Arial Narrow"/>
          <w:sz w:val="24"/>
          <w:szCs w:val="24"/>
        </w:rPr>
        <w:t xml:space="preserve"> </w:t>
      </w:r>
      <w:r w:rsidR="00684B9E" w:rsidRPr="002E4190">
        <w:rPr>
          <w:rFonts w:ascii="Arial Narrow" w:hAnsi="Arial Narrow"/>
          <w:sz w:val="24"/>
          <w:szCs w:val="24"/>
        </w:rPr>
        <w:t>mile</w:t>
      </w:r>
      <w:r w:rsidRPr="002E4190">
        <w:rPr>
          <w:rFonts w:ascii="Arial Narrow" w:hAnsi="Arial Narrow"/>
          <w:sz w:val="24"/>
          <w:szCs w:val="24"/>
        </w:rPr>
        <w:t>s</w:t>
      </w:r>
      <w:r w:rsidR="00913660" w:rsidRPr="002E4190">
        <w:rPr>
          <w:rFonts w:ascii="Arial Narrow" w:hAnsi="Arial Narrow"/>
          <w:sz w:val="24"/>
          <w:szCs w:val="24"/>
        </w:rPr>
        <w:t>,</w:t>
      </w:r>
      <w:r w:rsidR="00684B9E" w:rsidRPr="002E4190">
        <w:rPr>
          <w:rFonts w:ascii="Arial Narrow" w:hAnsi="Arial Narrow"/>
          <w:sz w:val="24"/>
          <w:szCs w:val="24"/>
        </w:rPr>
        <w:t xml:space="preserve"> </w:t>
      </w:r>
      <w:r w:rsidR="00034E18" w:rsidRPr="002E4190">
        <w:rPr>
          <w:rFonts w:ascii="Arial Narrow" w:hAnsi="Arial Narrow"/>
          <w:sz w:val="24"/>
          <w:szCs w:val="24"/>
        </w:rPr>
        <w:t xml:space="preserve">and </w:t>
      </w:r>
      <w:r w:rsidR="00A5737E" w:rsidRPr="002E4190">
        <w:rPr>
          <w:rFonts w:ascii="Arial Narrow" w:hAnsi="Arial Narrow"/>
          <w:sz w:val="24"/>
          <w:szCs w:val="24"/>
        </w:rPr>
        <w:t>d</w:t>
      </w:r>
      <w:r w:rsidR="00034E18" w:rsidRPr="002E4190">
        <w:rPr>
          <w:rFonts w:ascii="Arial Narrow" w:hAnsi="Arial Narrow"/>
          <w:sz w:val="24"/>
          <w:szCs w:val="24"/>
        </w:rPr>
        <w:t>irection (i.e.</w:t>
      </w:r>
      <w:r w:rsidR="00913660" w:rsidRPr="002E4190">
        <w:rPr>
          <w:rFonts w:ascii="Arial Narrow" w:hAnsi="Arial Narrow"/>
          <w:sz w:val="24"/>
          <w:szCs w:val="24"/>
        </w:rPr>
        <w:t>,</w:t>
      </w:r>
      <w:r w:rsidR="00034E18" w:rsidRPr="002E4190">
        <w:rPr>
          <w:rFonts w:ascii="Arial Narrow" w:hAnsi="Arial Narrow"/>
          <w:sz w:val="24"/>
          <w:szCs w:val="24"/>
        </w:rPr>
        <w:t xml:space="preserve"> N, S, NE, etc.)</w:t>
      </w:r>
      <w:r w:rsidR="00913660" w:rsidRPr="002E4190">
        <w:rPr>
          <w:rFonts w:ascii="Arial Narrow" w:hAnsi="Arial Narrow"/>
          <w:sz w:val="24"/>
          <w:szCs w:val="24"/>
        </w:rPr>
        <w:t>,</w:t>
      </w:r>
      <w:r w:rsidR="00034E18" w:rsidRPr="002E4190">
        <w:rPr>
          <w:rFonts w:ascii="Arial Narrow" w:hAnsi="Arial Narrow"/>
          <w:sz w:val="24"/>
          <w:szCs w:val="24"/>
        </w:rPr>
        <w:t xml:space="preserve"> </w:t>
      </w:r>
      <w:r w:rsidR="00684B9E" w:rsidRPr="002E4190">
        <w:rPr>
          <w:rFonts w:ascii="Arial Narrow" w:hAnsi="Arial Narrow"/>
          <w:sz w:val="24"/>
          <w:szCs w:val="24"/>
        </w:rPr>
        <w:t>to the nearest intersecting ROW or mapped landmark</w:t>
      </w:r>
      <w:r w:rsidR="00600922" w:rsidRPr="002E4190">
        <w:rPr>
          <w:rFonts w:ascii="Arial Narrow" w:hAnsi="Arial Narrow"/>
          <w:sz w:val="24"/>
          <w:szCs w:val="24"/>
        </w:rPr>
        <w:t xml:space="preserve"> (e.g.</w:t>
      </w:r>
      <w:r w:rsidR="00913660" w:rsidRPr="002E4190">
        <w:rPr>
          <w:rFonts w:ascii="Arial Narrow" w:hAnsi="Arial Narrow"/>
          <w:sz w:val="24"/>
          <w:szCs w:val="24"/>
        </w:rPr>
        <w:t>,</w:t>
      </w:r>
      <w:r w:rsidR="00600922" w:rsidRPr="002E4190">
        <w:rPr>
          <w:rFonts w:ascii="Arial Narrow" w:hAnsi="Arial Narrow"/>
          <w:sz w:val="24"/>
          <w:szCs w:val="24"/>
        </w:rPr>
        <w:t xml:space="preserve"> river, railroad, etc.)</w:t>
      </w:r>
      <w:r w:rsidR="00684B9E" w:rsidRPr="002E4190">
        <w:rPr>
          <w:rFonts w:ascii="Arial Narrow" w:hAnsi="Arial Narrow"/>
          <w:sz w:val="24"/>
          <w:szCs w:val="24"/>
        </w:rPr>
        <w:t>.</w:t>
      </w:r>
    </w:p>
    <w:p w14:paraId="19C3356F" w14:textId="77777777" w:rsidR="00862EEB" w:rsidRDefault="00034E18" w:rsidP="000F301E">
      <w:pPr>
        <w:spacing w:after="0" w:line="240" w:lineRule="auto"/>
        <w:jc w:val="both"/>
        <w:rPr>
          <w:rFonts w:ascii="Arial Narrow" w:hAnsi="Arial Narrow"/>
          <w:sz w:val="24"/>
          <w:szCs w:val="24"/>
        </w:rPr>
      </w:pPr>
      <w:r w:rsidRPr="00861A89">
        <w:rPr>
          <w:rFonts w:ascii="Arial Narrow" w:hAnsi="Arial Narrow"/>
          <w:sz w:val="24"/>
          <w:szCs w:val="24"/>
        </w:rPr>
        <w:t>State</w:t>
      </w:r>
      <w:r w:rsidR="003C7AAD">
        <w:rPr>
          <w:rFonts w:ascii="Arial Narrow" w:hAnsi="Arial Narrow"/>
          <w:sz w:val="24"/>
          <w:szCs w:val="24"/>
        </w:rPr>
        <w:t xml:space="preserve"> the mailing</w:t>
      </w:r>
      <w:r w:rsidRPr="00861A89">
        <w:rPr>
          <w:rFonts w:ascii="Arial Narrow" w:hAnsi="Arial Narrow"/>
          <w:sz w:val="24"/>
          <w:szCs w:val="24"/>
        </w:rPr>
        <w:t xml:space="preserve"> address or describe </w:t>
      </w:r>
      <w:r w:rsidR="003C7AAD">
        <w:rPr>
          <w:rFonts w:ascii="Arial Narrow" w:hAnsi="Arial Narrow"/>
          <w:sz w:val="24"/>
          <w:szCs w:val="24"/>
        </w:rPr>
        <w:t xml:space="preserve">the </w:t>
      </w:r>
      <w:r w:rsidRPr="00861A89">
        <w:rPr>
          <w:rFonts w:ascii="Arial Narrow" w:hAnsi="Arial Narrow"/>
          <w:sz w:val="24"/>
          <w:szCs w:val="24"/>
        </w:rPr>
        <w:t>location</w:t>
      </w:r>
      <w:r w:rsidR="002E4190">
        <w:rPr>
          <w:rFonts w:ascii="Arial Narrow" w:hAnsi="Arial Narrow"/>
          <w:sz w:val="24"/>
          <w:szCs w:val="24"/>
        </w:rPr>
        <w:t xml:space="preserve"> as instructed above</w:t>
      </w:r>
      <w:r w:rsidRPr="00861A89">
        <w:rPr>
          <w:rFonts w:ascii="Arial Narrow" w:hAnsi="Arial Narrow"/>
          <w:sz w:val="24"/>
          <w:szCs w:val="24"/>
        </w:rPr>
        <w:t>:</w:t>
      </w:r>
      <w:r w:rsidR="0098463C">
        <w:rPr>
          <w:rFonts w:ascii="Arial Narrow" w:hAnsi="Arial Narrow"/>
          <w:sz w:val="24"/>
          <w:szCs w:val="24"/>
        </w:rPr>
        <w:t xml:space="preserve"> </w:t>
      </w:r>
      <w:r w:rsidR="00DA2EEF" w:rsidRPr="00FD0D92">
        <w:rPr>
          <w:rFonts w:ascii="Arial Narrow" w:hAnsi="Arial Narrow"/>
          <w:sz w:val="24"/>
          <w:szCs w:val="24"/>
          <w:u w:val="single"/>
        </w:rPr>
        <w:fldChar w:fldCharType="begin">
          <w:ffData>
            <w:name w:val="Text188"/>
            <w:enabled/>
            <w:calcOnExit w:val="0"/>
            <w:textInput/>
          </w:ffData>
        </w:fldChar>
      </w:r>
      <w:r w:rsidR="001535BB" w:rsidRPr="00FD0D92">
        <w:rPr>
          <w:rFonts w:ascii="Arial Narrow" w:hAnsi="Arial Narrow"/>
          <w:sz w:val="24"/>
          <w:szCs w:val="24"/>
          <w:u w:val="single"/>
        </w:rPr>
        <w:instrText xml:space="preserve"> FORMTEXT </w:instrText>
      </w:r>
      <w:r w:rsidR="00DA2EEF" w:rsidRPr="00FD0D92">
        <w:rPr>
          <w:rFonts w:ascii="Arial Narrow" w:hAnsi="Arial Narrow"/>
          <w:sz w:val="24"/>
          <w:szCs w:val="24"/>
          <w:u w:val="single"/>
        </w:rPr>
      </w:r>
      <w:r w:rsidR="00DA2EEF" w:rsidRPr="00FD0D92">
        <w:rPr>
          <w:rFonts w:ascii="Arial Narrow" w:hAnsi="Arial Narrow"/>
          <w:sz w:val="24"/>
          <w:szCs w:val="24"/>
          <w:u w:val="single"/>
        </w:rPr>
        <w:fldChar w:fldCharType="separate"/>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DA2EEF" w:rsidRPr="00FD0D92">
        <w:rPr>
          <w:rFonts w:ascii="Arial Narrow" w:hAnsi="Arial Narrow"/>
          <w:sz w:val="24"/>
          <w:szCs w:val="24"/>
          <w:u w:val="single"/>
        </w:rPr>
        <w:fldChar w:fldCharType="end"/>
      </w:r>
      <w:r w:rsidR="00702E2D">
        <w:rPr>
          <w:rFonts w:ascii="Arial Narrow" w:hAnsi="Arial Narrow"/>
          <w:sz w:val="24"/>
          <w:szCs w:val="24"/>
        </w:rPr>
        <w:t xml:space="preserve">. </w:t>
      </w:r>
    </w:p>
    <w:p w14:paraId="178A7A26" w14:textId="35DC455B" w:rsidR="00AE6561" w:rsidRPr="00861A89" w:rsidRDefault="00702E2D" w:rsidP="000F301E">
      <w:pPr>
        <w:spacing w:after="0" w:line="240" w:lineRule="auto"/>
        <w:jc w:val="both"/>
        <w:rPr>
          <w:rFonts w:ascii="Arial Narrow" w:hAnsi="Arial Narrow"/>
          <w:sz w:val="24"/>
          <w:szCs w:val="24"/>
        </w:rPr>
      </w:pPr>
      <w:r>
        <w:rPr>
          <w:rFonts w:ascii="Arial Narrow" w:hAnsi="Arial Narrow"/>
          <w:sz w:val="24"/>
          <w:szCs w:val="24"/>
        </w:rPr>
        <w:t xml:space="preserve">State </w:t>
      </w:r>
      <w:r w:rsidR="00B00168">
        <w:rPr>
          <w:rFonts w:ascii="Arial Narrow" w:hAnsi="Arial Narrow"/>
          <w:sz w:val="24"/>
          <w:szCs w:val="24"/>
        </w:rPr>
        <w:t>each</w:t>
      </w:r>
      <w:r>
        <w:rPr>
          <w:rFonts w:ascii="Arial Narrow" w:hAnsi="Arial Narrow"/>
          <w:sz w:val="24"/>
          <w:szCs w:val="24"/>
        </w:rPr>
        <w:t xml:space="preserve"> of the following:</w:t>
      </w:r>
      <w:r w:rsidR="003C7AAD">
        <w:rPr>
          <w:rFonts w:ascii="Arial Narrow" w:hAnsi="Arial Narrow"/>
          <w:sz w:val="24"/>
          <w:szCs w:val="24"/>
        </w:rPr>
        <w:t xml:space="preserve"> </w:t>
      </w:r>
      <w:r w:rsidR="00A631D2" w:rsidRPr="00862EEB">
        <w:rPr>
          <w:rFonts w:ascii="Arial Narrow" w:hAnsi="Arial Narrow"/>
          <w:b/>
          <w:bCs/>
          <w:sz w:val="24"/>
          <w:szCs w:val="24"/>
        </w:rPr>
        <w:t>C</w:t>
      </w:r>
      <w:r w:rsidR="003C7AAD" w:rsidRPr="00862EEB">
        <w:rPr>
          <w:rFonts w:ascii="Arial Narrow" w:hAnsi="Arial Narrow"/>
          <w:b/>
          <w:bCs/>
          <w:sz w:val="24"/>
          <w:szCs w:val="24"/>
        </w:rPr>
        <w:t>ity</w:t>
      </w:r>
      <w:r w:rsidR="00AF5E61">
        <w:rPr>
          <w:rFonts w:ascii="Arial Narrow" w:hAnsi="Arial Narrow"/>
          <w:sz w:val="24"/>
          <w:szCs w:val="24"/>
        </w:rPr>
        <w:t>:</w:t>
      </w:r>
      <w:r w:rsidR="003C7AAD">
        <w:rPr>
          <w:rFonts w:ascii="Arial Narrow" w:hAnsi="Arial Narrow"/>
          <w:sz w:val="24"/>
          <w:szCs w:val="24"/>
        </w:rPr>
        <w:t xml:space="preserve"> </w:t>
      </w:r>
      <w:r w:rsidR="003C7AAD" w:rsidRPr="00FD0D92">
        <w:rPr>
          <w:rFonts w:ascii="Arial Narrow" w:hAnsi="Arial Narrow"/>
          <w:sz w:val="24"/>
          <w:szCs w:val="24"/>
          <w:u w:val="single"/>
        </w:rPr>
        <w:fldChar w:fldCharType="begin">
          <w:ffData>
            <w:name w:val="Text188"/>
            <w:enabled/>
            <w:calcOnExit w:val="0"/>
            <w:textInput/>
          </w:ffData>
        </w:fldChar>
      </w:r>
      <w:r w:rsidR="003C7AAD" w:rsidRPr="00FD0D92">
        <w:rPr>
          <w:rFonts w:ascii="Arial Narrow" w:hAnsi="Arial Narrow"/>
          <w:sz w:val="24"/>
          <w:szCs w:val="24"/>
          <w:u w:val="single"/>
        </w:rPr>
        <w:instrText xml:space="preserve"> FORMTEXT </w:instrText>
      </w:r>
      <w:r w:rsidR="003C7AAD" w:rsidRPr="00FD0D92">
        <w:rPr>
          <w:rFonts w:ascii="Arial Narrow" w:hAnsi="Arial Narrow"/>
          <w:sz w:val="24"/>
          <w:szCs w:val="24"/>
          <w:u w:val="single"/>
        </w:rPr>
      </w:r>
      <w:r w:rsidR="003C7AAD" w:rsidRPr="00FD0D92">
        <w:rPr>
          <w:rFonts w:ascii="Arial Narrow" w:hAnsi="Arial Narrow"/>
          <w:sz w:val="24"/>
          <w:szCs w:val="24"/>
          <w:u w:val="single"/>
        </w:rPr>
        <w:fldChar w:fldCharType="separate"/>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fldChar w:fldCharType="end"/>
      </w:r>
      <w:r w:rsidR="003C7AAD">
        <w:rPr>
          <w:rFonts w:ascii="Arial Narrow" w:hAnsi="Arial Narrow"/>
          <w:sz w:val="24"/>
          <w:szCs w:val="24"/>
        </w:rPr>
        <w:t xml:space="preserve">, </w:t>
      </w:r>
      <w:r w:rsidR="00A631D2" w:rsidRPr="00D87B07">
        <w:rPr>
          <w:rFonts w:ascii="Arial Narrow" w:hAnsi="Arial Narrow"/>
          <w:b/>
          <w:sz w:val="24"/>
          <w:szCs w:val="24"/>
        </w:rPr>
        <w:t>C</w:t>
      </w:r>
      <w:r w:rsidR="003C7AAD" w:rsidRPr="00D87B07">
        <w:rPr>
          <w:rFonts w:ascii="Arial Narrow" w:hAnsi="Arial Narrow"/>
          <w:b/>
          <w:sz w:val="24"/>
          <w:szCs w:val="24"/>
        </w:rPr>
        <w:t>ounty</w:t>
      </w:r>
      <w:r w:rsidR="00AF5E61">
        <w:rPr>
          <w:rFonts w:ascii="Arial Narrow" w:hAnsi="Arial Narrow"/>
          <w:sz w:val="24"/>
          <w:szCs w:val="24"/>
        </w:rPr>
        <w:t>:</w:t>
      </w:r>
      <w:r w:rsidR="003C7AAD">
        <w:rPr>
          <w:rFonts w:ascii="Arial Narrow" w:hAnsi="Arial Narrow"/>
          <w:sz w:val="24"/>
          <w:szCs w:val="24"/>
        </w:rPr>
        <w:t xml:space="preserve"> </w:t>
      </w:r>
      <w:r w:rsidR="003C7AAD" w:rsidRPr="00FD0D92">
        <w:rPr>
          <w:rFonts w:ascii="Arial Narrow" w:hAnsi="Arial Narrow"/>
          <w:sz w:val="24"/>
          <w:szCs w:val="24"/>
          <w:u w:val="single"/>
        </w:rPr>
        <w:fldChar w:fldCharType="begin">
          <w:ffData>
            <w:name w:val="Text188"/>
            <w:enabled/>
            <w:calcOnExit w:val="0"/>
            <w:textInput/>
          </w:ffData>
        </w:fldChar>
      </w:r>
      <w:r w:rsidR="003C7AAD" w:rsidRPr="00FD0D92">
        <w:rPr>
          <w:rFonts w:ascii="Arial Narrow" w:hAnsi="Arial Narrow"/>
          <w:sz w:val="24"/>
          <w:szCs w:val="24"/>
          <w:u w:val="single"/>
        </w:rPr>
        <w:instrText xml:space="preserve"> FORMTEXT </w:instrText>
      </w:r>
      <w:r w:rsidR="003C7AAD" w:rsidRPr="00FD0D92">
        <w:rPr>
          <w:rFonts w:ascii="Arial Narrow" w:hAnsi="Arial Narrow"/>
          <w:sz w:val="24"/>
          <w:szCs w:val="24"/>
          <w:u w:val="single"/>
        </w:rPr>
      </w:r>
      <w:r w:rsidR="003C7AAD" w:rsidRPr="00FD0D92">
        <w:rPr>
          <w:rFonts w:ascii="Arial Narrow" w:hAnsi="Arial Narrow"/>
          <w:sz w:val="24"/>
          <w:szCs w:val="24"/>
          <w:u w:val="single"/>
        </w:rPr>
        <w:fldChar w:fldCharType="separate"/>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fldChar w:fldCharType="end"/>
      </w:r>
      <w:r w:rsidR="00862EEB">
        <w:rPr>
          <w:rFonts w:ascii="Arial Narrow" w:hAnsi="Arial Narrow"/>
          <w:sz w:val="24"/>
          <w:szCs w:val="24"/>
        </w:rPr>
        <w:t>,</w:t>
      </w:r>
      <w:r w:rsidR="00862EEB" w:rsidRPr="00862EEB">
        <w:rPr>
          <w:rFonts w:ascii="Arial Narrow" w:hAnsi="Arial Narrow"/>
          <w:sz w:val="24"/>
          <w:szCs w:val="24"/>
        </w:rPr>
        <w:t xml:space="preserve"> </w:t>
      </w:r>
      <w:r w:rsidR="00862EEB" w:rsidRPr="00862EEB">
        <w:rPr>
          <w:rFonts w:ascii="Arial Narrow" w:hAnsi="Arial Narrow"/>
          <w:b/>
          <w:bCs/>
          <w:sz w:val="24"/>
          <w:szCs w:val="24"/>
        </w:rPr>
        <w:t>ZIP</w:t>
      </w:r>
      <w:r w:rsidR="00862EEB">
        <w:rPr>
          <w:rFonts w:ascii="Arial Narrow" w:hAnsi="Arial Narrow"/>
          <w:sz w:val="24"/>
          <w:szCs w:val="24"/>
        </w:rPr>
        <w:t xml:space="preserve">: </w:t>
      </w:r>
      <w:r w:rsidR="00862EEB" w:rsidRPr="00FD0D92">
        <w:rPr>
          <w:rFonts w:ascii="Arial Narrow" w:hAnsi="Arial Narrow"/>
          <w:sz w:val="24"/>
          <w:szCs w:val="24"/>
          <w:u w:val="single"/>
        </w:rPr>
        <w:fldChar w:fldCharType="begin">
          <w:ffData>
            <w:name w:val="Text188"/>
            <w:enabled/>
            <w:calcOnExit w:val="0"/>
            <w:textInput/>
          </w:ffData>
        </w:fldChar>
      </w:r>
      <w:r w:rsidR="00862EEB" w:rsidRPr="00FD0D92">
        <w:rPr>
          <w:rFonts w:ascii="Arial Narrow" w:hAnsi="Arial Narrow"/>
          <w:sz w:val="24"/>
          <w:szCs w:val="24"/>
          <w:u w:val="single"/>
        </w:rPr>
        <w:instrText xml:space="preserve"> FORMTEXT </w:instrText>
      </w:r>
      <w:r w:rsidR="00862EEB" w:rsidRPr="00FD0D92">
        <w:rPr>
          <w:rFonts w:ascii="Arial Narrow" w:hAnsi="Arial Narrow"/>
          <w:sz w:val="24"/>
          <w:szCs w:val="24"/>
          <w:u w:val="single"/>
        </w:rPr>
      </w:r>
      <w:r w:rsidR="00862EEB" w:rsidRPr="00FD0D92">
        <w:rPr>
          <w:rFonts w:ascii="Arial Narrow" w:hAnsi="Arial Narrow"/>
          <w:sz w:val="24"/>
          <w:szCs w:val="24"/>
          <w:u w:val="single"/>
        </w:rPr>
        <w:fldChar w:fldCharType="separate"/>
      </w:r>
      <w:r w:rsidR="00862EEB" w:rsidRPr="00FD0D92">
        <w:rPr>
          <w:rFonts w:ascii="Arial Narrow" w:hAnsi="Arial Narrow"/>
          <w:sz w:val="24"/>
          <w:szCs w:val="24"/>
          <w:u w:val="single"/>
        </w:rPr>
        <w:t> </w:t>
      </w:r>
      <w:r w:rsidR="00862EEB" w:rsidRPr="00FD0D92">
        <w:rPr>
          <w:rFonts w:ascii="Arial Narrow" w:hAnsi="Arial Narrow"/>
          <w:sz w:val="24"/>
          <w:szCs w:val="24"/>
          <w:u w:val="single"/>
        </w:rPr>
        <w:t> </w:t>
      </w:r>
      <w:r w:rsidR="00862EEB" w:rsidRPr="00FD0D92">
        <w:rPr>
          <w:rFonts w:ascii="Arial Narrow" w:hAnsi="Arial Narrow"/>
          <w:sz w:val="24"/>
          <w:szCs w:val="24"/>
          <w:u w:val="single"/>
        </w:rPr>
        <w:t> </w:t>
      </w:r>
      <w:r w:rsidR="00862EEB" w:rsidRPr="00FD0D92">
        <w:rPr>
          <w:rFonts w:ascii="Arial Narrow" w:hAnsi="Arial Narrow"/>
          <w:sz w:val="24"/>
          <w:szCs w:val="24"/>
          <w:u w:val="single"/>
        </w:rPr>
        <w:t> </w:t>
      </w:r>
      <w:r w:rsidR="00862EEB" w:rsidRPr="00FD0D92">
        <w:rPr>
          <w:rFonts w:ascii="Arial Narrow" w:hAnsi="Arial Narrow"/>
          <w:sz w:val="24"/>
          <w:szCs w:val="24"/>
          <w:u w:val="single"/>
        </w:rPr>
        <w:t> </w:t>
      </w:r>
      <w:r w:rsidR="00862EEB" w:rsidRPr="00FD0D92">
        <w:rPr>
          <w:rFonts w:ascii="Arial Narrow" w:hAnsi="Arial Narrow"/>
          <w:sz w:val="24"/>
          <w:szCs w:val="24"/>
          <w:u w:val="single"/>
        </w:rPr>
        <w:fldChar w:fldCharType="end"/>
      </w:r>
      <w:r w:rsidR="00862EEB">
        <w:rPr>
          <w:rFonts w:ascii="Arial Narrow" w:hAnsi="Arial Narrow"/>
          <w:sz w:val="24"/>
          <w:szCs w:val="24"/>
        </w:rPr>
        <w:t>.</w:t>
      </w:r>
    </w:p>
    <w:p w14:paraId="367CC358" w14:textId="77777777" w:rsidR="00861A89" w:rsidRPr="00861A89" w:rsidRDefault="00861A89" w:rsidP="000F301E">
      <w:pPr>
        <w:spacing w:after="0" w:line="240" w:lineRule="auto"/>
        <w:jc w:val="both"/>
        <w:rPr>
          <w:rFonts w:ascii="Arial Narrow" w:hAnsi="Arial Narrow"/>
          <w:sz w:val="24"/>
          <w:szCs w:val="24"/>
        </w:rPr>
      </w:pPr>
    </w:p>
    <w:p w14:paraId="6B5EE201" w14:textId="009FCFDF" w:rsidR="00B83BD0" w:rsidRPr="00861A89" w:rsidRDefault="002E4190" w:rsidP="00040429">
      <w:pPr>
        <w:spacing w:after="0" w:line="240" w:lineRule="auto"/>
        <w:jc w:val="both"/>
        <w:rPr>
          <w:rFonts w:ascii="Arial Narrow" w:hAnsi="Arial Narrow"/>
          <w:sz w:val="24"/>
          <w:szCs w:val="24"/>
        </w:rPr>
      </w:pPr>
      <w:r>
        <w:rPr>
          <w:rFonts w:ascii="Arial Narrow" w:hAnsi="Arial Narrow"/>
          <w:sz w:val="24"/>
          <w:szCs w:val="24"/>
        </w:rPr>
        <w:t>State the name of the Development Owner</w:t>
      </w:r>
      <w:r w:rsidR="00AF5E61">
        <w:rPr>
          <w:rFonts w:ascii="Arial Narrow" w:hAnsi="Arial Narrow"/>
          <w:sz w:val="24"/>
          <w:szCs w:val="24"/>
        </w:rPr>
        <w:t xml:space="preserve"> exactly </w:t>
      </w:r>
      <w:r w:rsidR="00F70F56">
        <w:rPr>
          <w:rFonts w:ascii="Arial Narrow" w:hAnsi="Arial Narrow"/>
          <w:sz w:val="24"/>
          <w:szCs w:val="24"/>
        </w:rPr>
        <w:t xml:space="preserve">as spelled and </w:t>
      </w:r>
      <w:r w:rsidR="00AF5E61">
        <w:rPr>
          <w:rFonts w:ascii="Arial Narrow" w:hAnsi="Arial Narrow"/>
          <w:sz w:val="24"/>
          <w:szCs w:val="24"/>
        </w:rPr>
        <w:t>punctuat</w:t>
      </w:r>
      <w:r w:rsidR="00F70F56">
        <w:rPr>
          <w:rFonts w:ascii="Arial Narrow" w:hAnsi="Arial Narrow"/>
          <w:sz w:val="24"/>
          <w:szCs w:val="24"/>
        </w:rPr>
        <w:t>ed</w:t>
      </w:r>
      <w:r w:rsidR="00AF5E61">
        <w:rPr>
          <w:rFonts w:ascii="Arial Narrow" w:hAnsi="Arial Narrow"/>
          <w:sz w:val="24"/>
          <w:szCs w:val="24"/>
        </w:rPr>
        <w:t xml:space="preserve"> </w:t>
      </w:r>
      <w:r w:rsidR="00F70F56">
        <w:rPr>
          <w:rFonts w:ascii="Arial Narrow" w:hAnsi="Arial Narrow"/>
          <w:sz w:val="24"/>
          <w:szCs w:val="24"/>
        </w:rPr>
        <w:t xml:space="preserve">in its </w:t>
      </w:r>
      <w:r w:rsidR="00AF5E61">
        <w:rPr>
          <w:rFonts w:ascii="Arial Narrow" w:hAnsi="Arial Narrow"/>
          <w:sz w:val="24"/>
          <w:szCs w:val="24"/>
        </w:rPr>
        <w:t>registr</w:t>
      </w:r>
      <w:r w:rsidR="00F70F56">
        <w:rPr>
          <w:rFonts w:ascii="Arial Narrow" w:hAnsi="Arial Narrow"/>
          <w:sz w:val="24"/>
          <w:szCs w:val="24"/>
        </w:rPr>
        <w:t>ation</w:t>
      </w:r>
      <w:r w:rsidR="00AF5E61">
        <w:rPr>
          <w:rFonts w:ascii="Arial Narrow" w:hAnsi="Arial Narrow"/>
          <w:sz w:val="24"/>
          <w:szCs w:val="24"/>
        </w:rPr>
        <w:t xml:space="preserve"> with the applicable secretary of state:</w:t>
      </w:r>
      <w:r>
        <w:rPr>
          <w:rFonts w:ascii="Arial Narrow" w:hAnsi="Arial Narrow"/>
          <w:sz w:val="24"/>
          <w:szCs w:val="24"/>
        </w:rPr>
        <w:t xml:space="preserve"> </w:t>
      </w:r>
      <w:r w:rsidRPr="00FD0D92">
        <w:rPr>
          <w:rFonts w:ascii="Arial Narrow" w:hAnsi="Arial Narrow"/>
          <w:sz w:val="24"/>
          <w:szCs w:val="24"/>
          <w:u w:val="single"/>
        </w:rPr>
        <w:fldChar w:fldCharType="begin">
          <w:ffData>
            <w:name w:val="Text188"/>
            <w:enabled/>
            <w:calcOnExit w:val="0"/>
            <w:textInput/>
          </w:ffData>
        </w:fldChar>
      </w:r>
      <w:r w:rsidRPr="00FD0D92">
        <w:rPr>
          <w:rFonts w:ascii="Arial Narrow" w:hAnsi="Arial Narrow"/>
          <w:sz w:val="24"/>
          <w:szCs w:val="24"/>
          <w:u w:val="single"/>
        </w:rPr>
        <w:instrText xml:space="preserve"> FORMTEXT </w:instrText>
      </w:r>
      <w:r w:rsidRPr="00FD0D92">
        <w:rPr>
          <w:rFonts w:ascii="Arial Narrow" w:hAnsi="Arial Narrow"/>
          <w:sz w:val="24"/>
          <w:szCs w:val="24"/>
          <w:u w:val="single"/>
        </w:rPr>
      </w:r>
      <w:r w:rsidRPr="00FD0D92">
        <w:rPr>
          <w:rFonts w:ascii="Arial Narrow" w:hAnsi="Arial Narrow"/>
          <w:sz w:val="24"/>
          <w:szCs w:val="24"/>
          <w:u w:val="single"/>
        </w:rPr>
        <w:fldChar w:fldCharType="separate"/>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fldChar w:fldCharType="end"/>
      </w:r>
      <w:r>
        <w:rPr>
          <w:rFonts w:ascii="Arial Narrow" w:hAnsi="Arial Narrow"/>
          <w:sz w:val="24"/>
          <w:szCs w:val="24"/>
        </w:rPr>
        <w:t>.</w:t>
      </w:r>
      <w:r w:rsidR="00AF5E61">
        <w:rPr>
          <w:rFonts w:ascii="Arial Narrow" w:hAnsi="Arial Narrow"/>
          <w:sz w:val="24"/>
          <w:szCs w:val="24"/>
        </w:rPr>
        <w:t xml:space="preserve"> </w:t>
      </w:r>
      <w:r>
        <w:rPr>
          <w:rFonts w:ascii="Arial Narrow" w:hAnsi="Arial Narrow"/>
          <w:sz w:val="24"/>
          <w:szCs w:val="24"/>
        </w:rPr>
        <w:t xml:space="preserve">State the </w:t>
      </w:r>
      <w:r w:rsidR="00AF5E61">
        <w:rPr>
          <w:rFonts w:ascii="Arial Narrow" w:hAnsi="Arial Narrow"/>
          <w:sz w:val="24"/>
          <w:szCs w:val="24"/>
        </w:rPr>
        <w:t xml:space="preserve">annual </w:t>
      </w:r>
      <w:r>
        <w:rPr>
          <w:rFonts w:ascii="Arial Narrow" w:hAnsi="Arial Narrow"/>
          <w:sz w:val="24"/>
          <w:szCs w:val="24"/>
        </w:rPr>
        <w:t>amount of the 202</w:t>
      </w:r>
      <w:r w:rsidR="00ED65D6">
        <w:rPr>
          <w:rFonts w:ascii="Arial Narrow" w:hAnsi="Arial Narrow"/>
          <w:sz w:val="24"/>
          <w:szCs w:val="24"/>
        </w:rPr>
        <w:t>5</w:t>
      </w:r>
      <w:r>
        <w:rPr>
          <w:rFonts w:ascii="Arial Narrow" w:hAnsi="Arial Narrow"/>
          <w:sz w:val="24"/>
          <w:szCs w:val="24"/>
        </w:rPr>
        <w:t xml:space="preserve"> HTC award</w:t>
      </w:r>
      <w:r w:rsidR="00AF5E61">
        <w:rPr>
          <w:rFonts w:ascii="Arial Narrow" w:hAnsi="Arial Narrow"/>
          <w:sz w:val="24"/>
          <w:szCs w:val="24"/>
        </w:rPr>
        <w:t>:</w:t>
      </w:r>
      <w:r>
        <w:rPr>
          <w:rFonts w:ascii="Arial Narrow" w:hAnsi="Arial Narrow"/>
          <w:sz w:val="24"/>
          <w:szCs w:val="24"/>
        </w:rPr>
        <w:t xml:space="preserve"> </w:t>
      </w:r>
      <w:r w:rsidRPr="00FD0D92">
        <w:rPr>
          <w:rFonts w:ascii="Arial Narrow" w:hAnsi="Arial Narrow"/>
          <w:sz w:val="24"/>
          <w:szCs w:val="24"/>
          <w:u w:val="single"/>
        </w:rPr>
        <w:fldChar w:fldCharType="begin">
          <w:ffData>
            <w:name w:val="Text188"/>
            <w:enabled/>
            <w:calcOnExit w:val="0"/>
            <w:textInput/>
          </w:ffData>
        </w:fldChar>
      </w:r>
      <w:r w:rsidRPr="00FD0D92">
        <w:rPr>
          <w:rFonts w:ascii="Arial Narrow" w:hAnsi="Arial Narrow"/>
          <w:sz w:val="24"/>
          <w:szCs w:val="24"/>
          <w:u w:val="single"/>
        </w:rPr>
        <w:instrText xml:space="preserve"> FORMTEXT </w:instrText>
      </w:r>
      <w:r w:rsidRPr="00FD0D92">
        <w:rPr>
          <w:rFonts w:ascii="Arial Narrow" w:hAnsi="Arial Narrow"/>
          <w:sz w:val="24"/>
          <w:szCs w:val="24"/>
          <w:u w:val="single"/>
        </w:rPr>
      </w:r>
      <w:r w:rsidRPr="00FD0D92">
        <w:rPr>
          <w:rFonts w:ascii="Arial Narrow" w:hAnsi="Arial Narrow"/>
          <w:sz w:val="24"/>
          <w:szCs w:val="24"/>
          <w:u w:val="single"/>
        </w:rPr>
        <w:fldChar w:fldCharType="separate"/>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fldChar w:fldCharType="end"/>
      </w:r>
      <w:r>
        <w:rPr>
          <w:rFonts w:ascii="Arial Narrow" w:hAnsi="Arial Narrow"/>
          <w:sz w:val="24"/>
          <w:szCs w:val="24"/>
        </w:rPr>
        <w:t>.</w:t>
      </w:r>
      <w:r w:rsidR="00AF5E61">
        <w:rPr>
          <w:rFonts w:ascii="Arial Narrow" w:hAnsi="Arial Narrow"/>
          <w:sz w:val="24"/>
          <w:szCs w:val="24"/>
        </w:rPr>
        <w:t xml:space="preserve"> </w:t>
      </w:r>
      <w:r w:rsidR="00D07562" w:rsidRPr="00861A89">
        <w:rPr>
          <w:rFonts w:ascii="Arial Narrow" w:hAnsi="Arial Narrow"/>
          <w:sz w:val="24"/>
          <w:szCs w:val="24"/>
        </w:rPr>
        <w:t xml:space="preserve">State the total reasonably expected </w:t>
      </w:r>
      <w:r w:rsidR="000409D4" w:rsidRPr="00861A89">
        <w:rPr>
          <w:rFonts w:ascii="Arial Narrow" w:hAnsi="Arial Narrow"/>
          <w:sz w:val="24"/>
          <w:szCs w:val="24"/>
        </w:rPr>
        <w:t xml:space="preserve">basis (TREB) </w:t>
      </w:r>
      <w:r w:rsidR="00D07562" w:rsidRPr="00861A89">
        <w:rPr>
          <w:rFonts w:ascii="Arial Narrow" w:hAnsi="Arial Narrow"/>
          <w:sz w:val="24"/>
          <w:szCs w:val="24"/>
        </w:rPr>
        <w:t>as of Decem</w:t>
      </w:r>
      <w:r w:rsidR="000409D4" w:rsidRPr="00861A89">
        <w:rPr>
          <w:rFonts w:ascii="Arial Narrow" w:hAnsi="Arial Narrow"/>
          <w:sz w:val="24"/>
          <w:szCs w:val="24"/>
        </w:rPr>
        <w:t>ber 31, 20</w:t>
      </w:r>
      <w:r w:rsidR="0079719E">
        <w:rPr>
          <w:rFonts w:ascii="Arial Narrow" w:hAnsi="Arial Narrow"/>
          <w:sz w:val="24"/>
          <w:szCs w:val="24"/>
        </w:rPr>
        <w:t>2</w:t>
      </w:r>
      <w:r w:rsidR="00ED65D6">
        <w:rPr>
          <w:rFonts w:ascii="Arial Narrow" w:hAnsi="Arial Narrow"/>
          <w:sz w:val="24"/>
          <w:szCs w:val="24"/>
        </w:rPr>
        <w:t>7</w:t>
      </w:r>
      <w:r w:rsidR="00D234A7" w:rsidRPr="00861A89">
        <w:rPr>
          <w:rFonts w:ascii="Arial Narrow" w:hAnsi="Arial Narrow"/>
          <w:sz w:val="24"/>
          <w:szCs w:val="24"/>
        </w:rPr>
        <w:t>,</w:t>
      </w:r>
      <w:r w:rsidR="002D4E09" w:rsidRPr="00861A89">
        <w:rPr>
          <w:rFonts w:ascii="Arial Narrow" w:hAnsi="Arial Narrow"/>
          <w:sz w:val="24"/>
          <w:szCs w:val="24"/>
        </w:rPr>
        <w:t xml:space="preserve"> after reading the </w:t>
      </w:r>
      <w:r w:rsidR="009904E2" w:rsidRPr="00861A89">
        <w:rPr>
          <w:rFonts w:ascii="Arial Narrow" w:hAnsi="Arial Narrow"/>
          <w:sz w:val="24"/>
          <w:szCs w:val="24"/>
        </w:rPr>
        <w:t>addendum to this questionnaire</w:t>
      </w:r>
      <w:r w:rsidR="002D4E09" w:rsidRPr="00861A89">
        <w:rPr>
          <w:rFonts w:ascii="Arial Narrow" w:hAnsi="Arial Narrow"/>
          <w:sz w:val="24"/>
          <w:szCs w:val="24"/>
        </w:rPr>
        <w:t xml:space="preserve"> and </w:t>
      </w:r>
      <w:r w:rsidR="00F92E0E" w:rsidRPr="005C3395">
        <w:rPr>
          <w:rFonts w:ascii="Arial Narrow" w:hAnsi="Arial Narrow"/>
          <w:b/>
          <w:sz w:val="24"/>
          <w:szCs w:val="24"/>
          <w:u w:val="single"/>
        </w:rPr>
        <w:t>b</w:t>
      </w:r>
      <w:r w:rsidR="00B3157D" w:rsidRPr="005C3395">
        <w:rPr>
          <w:rFonts w:ascii="Arial Narrow" w:hAnsi="Arial Narrow"/>
          <w:b/>
          <w:sz w:val="24"/>
          <w:szCs w:val="24"/>
          <w:u w:val="single"/>
        </w:rPr>
        <w:t>ased on consultation with your tax advisor</w:t>
      </w:r>
      <w:r w:rsidR="002D4E09" w:rsidRPr="00861A89">
        <w:rPr>
          <w:rFonts w:ascii="Arial Narrow" w:hAnsi="Arial Narrow"/>
          <w:sz w:val="24"/>
          <w:szCs w:val="24"/>
        </w:rPr>
        <w:t xml:space="preserve">. </w:t>
      </w:r>
      <w:r w:rsidR="00AC4034" w:rsidRPr="00861A89">
        <w:rPr>
          <w:rFonts w:ascii="Arial Narrow" w:hAnsi="Arial Narrow"/>
          <w:sz w:val="24"/>
          <w:szCs w:val="24"/>
        </w:rPr>
        <w:t>TREB</w:t>
      </w:r>
      <w:r w:rsidR="002D4E09" w:rsidRPr="00861A89">
        <w:rPr>
          <w:rFonts w:ascii="Arial Narrow" w:hAnsi="Arial Narrow"/>
          <w:sz w:val="24"/>
          <w:szCs w:val="24"/>
        </w:rPr>
        <w:t xml:space="preserve"> is</w:t>
      </w:r>
      <w:r w:rsidR="00AC4034" w:rsidRPr="00D87B07">
        <w:rPr>
          <w:rFonts w:ascii="Arial Narrow" w:hAnsi="Arial Narrow"/>
          <w:sz w:val="24"/>
          <w:szCs w:val="24"/>
        </w:rPr>
        <w:t>:</w:t>
      </w:r>
      <w:r w:rsidR="00EF0ADF" w:rsidRPr="00D87B07">
        <w:rPr>
          <w:rFonts w:ascii="Arial Narrow" w:hAnsi="Arial Narrow"/>
          <w:sz w:val="24"/>
          <w:szCs w:val="24"/>
        </w:rPr>
        <w:t xml:space="preserve"> </w:t>
      </w:r>
      <w:r w:rsidR="00DA2EEF" w:rsidRPr="00861A89">
        <w:rPr>
          <w:rFonts w:ascii="Arial Narrow" w:hAnsi="Arial Narrow"/>
          <w:sz w:val="24"/>
          <w:szCs w:val="24"/>
          <w:u w:val="single"/>
        </w:rPr>
        <w:fldChar w:fldCharType="begin">
          <w:ffData>
            <w:name w:val="Text188"/>
            <w:enabled/>
            <w:calcOnExit w:val="0"/>
            <w:textInput/>
          </w:ffData>
        </w:fldChar>
      </w:r>
      <w:r w:rsidR="00AC4034" w:rsidRPr="00861A89">
        <w:rPr>
          <w:rFonts w:ascii="Arial Narrow" w:hAnsi="Arial Narrow"/>
          <w:sz w:val="24"/>
          <w:szCs w:val="24"/>
          <w:u w:val="single"/>
        </w:rPr>
        <w:instrText xml:space="preserve"> FORMTEXT </w:instrText>
      </w:r>
      <w:r w:rsidR="00DA2EEF" w:rsidRPr="00861A89">
        <w:rPr>
          <w:rFonts w:ascii="Arial Narrow" w:hAnsi="Arial Narrow"/>
          <w:sz w:val="24"/>
          <w:szCs w:val="24"/>
          <w:u w:val="single"/>
        </w:rPr>
      </w:r>
      <w:r w:rsidR="00DA2EEF" w:rsidRPr="00861A89">
        <w:rPr>
          <w:rFonts w:ascii="Arial Narrow" w:hAnsi="Arial Narrow"/>
          <w:sz w:val="24"/>
          <w:szCs w:val="24"/>
          <w:u w:val="single"/>
        </w:rPr>
        <w:fldChar w:fldCharType="separate"/>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DA2EEF" w:rsidRPr="00861A89">
        <w:rPr>
          <w:rFonts w:ascii="Arial Narrow" w:hAnsi="Arial Narrow"/>
          <w:sz w:val="24"/>
          <w:szCs w:val="24"/>
          <w:u w:val="single"/>
        </w:rPr>
        <w:fldChar w:fldCharType="end"/>
      </w:r>
      <w:r w:rsidR="00AC4034" w:rsidRPr="00861A89">
        <w:rPr>
          <w:rFonts w:ascii="Arial Narrow" w:hAnsi="Arial Narrow"/>
          <w:sz w:val="24"/>
          <w:szCs w:val="24"/>
        </w:rPr>
        <w:t>.</w:t>
      </w:r>
    </w:p>
    <w:p w14:paraId="321134CE" w14:textId="77777777" w:rsidR="00861A89" w:rsidRPr="00861A89" w:rsidRDefault="00861A89" w:rsidP="00040429">
      <w:pPr>
        <w:spacing w:after="0" w:line="240" w:lineRule="auto"/>
        <w:jc w:val="both"/>
        <w:rPr>
          <w:rFonts w:ascii="Arial Narrow" w:hAnsi="Arial Narrow"/>
          <w:sz w:val="24"/>
          <w:szCs w:val="24"/>
        </w:rPr>
      </w:pPr>
    </w:p>
    <w:p w14:paraId="592380CD" w14:textId="2E047E91" w:rsidR="000F301E" w:rsidRPr="00861A89" w:rsidRDefault="000F301E" w:rsidP="00040429">
      <w:pPr>
        <w:spacing w:after="0" w:line="240" w:lineRule="auto"/>
        <w:jc w:val="both"/>
        <w:rPr>
          <w:rFonts w:ascii="Arial Narrow" w:hAnsi="Arial Narrow"/>
          <w:sz w:val="24"/>
          <w:szCs w:val="24"/>
        </w:rPr>
      </w:pPr>
      <w:r w:rsidRPr="00861A89">
        <w:rPr>
          <w:rFonts w:ascii="Arial Narrow" w:hAnsi="Arial Narrow"/>
          <w:sz w:val="24"/>
          <w:szCs w:val="24"/>
        </w:rPr>
        <w:t>E</w:t>
      </w:r>
      <w:r w:rsidR="00FD6683">
        <w:rPr>
          <w:rFonts w:ascii="Arial Narrow" w:hAnsi="Arial Narrow"/>
          <w:sz w:val="24"/>
          <w:szCs w:val="24"/>
        </w:rPr>
        <w:t>xpected</w:t>
      </w:r>
      <w:r w:rsidRPr="00861A89">
        <w:rPr>
          <w:rFonts w:ascii="Arial Narrow" w:hAnsi="Arial Narrow"/>
          <w:sz w:val="24"/>
          <w:szCs w:val="24"/>
        </w:rPr>
        <w:t xml:space="preserve"> first year of credit period </w:t>
      </w:r>
      <w:r w:rsidR="00913660" w:rsidRPr="00861A89">
        <w:rPr>
          <w:rFonts w:ascii="Arial Narrow" w:hAnsi="Arial Narrow"/>
          <w:sz w:val="24"/>
          <w:szCs w:val="24"/>
        </w:rPr>
        <w:t>(</w:t>
      </w:r>
      <w:r w:rsidR="00913660" w:rsidRPr="00861A89">
        <w:rPr>
          <w:rFonts w:ascii="Arial Narrow" w:hAnsi="Arial Narrow"/>
          <w:sz w:val="24"/>
          <w:szCs w:val="24"/>
          <w:u w:val="single"/>
        </w:rPr>
        <w:t>response is required</w:t>
      </w:r>
      <w:r w:rsidR="00702E2D" w:rsidRPr="00702E2D">
        <w:rPr>
          <w:rFonts w:ascii="Arial Narrow" w:hAnsi="Arial Narrow"/>
          <w:sz w:val="24"/>
          <w:szCs w:val="24"/>
        </w:rPr>
        <w:t xml:space="preserve">): </w:t>
      </w:r>
      <w:r w:rsidR="00702E2D" w:rsidRPr="00FD0D92">
        <w:rPr>
          <w:rFonts w:ascii="Arial Narrow" w:hAnsi="Arial Narrow"/>
          <w:sz w:val="24"/>
          <w:szCs w:val="24"/>
          <w:u w:val="single"/>
        </w:rPr>
        <w:fldChar w:fldCharType="begin">
          <w:ffData>
            <w:name w:val="Text188"/>
            <w:enabled/>
            <w:calcOnExit w:val="0"/>
            <w:textInput/>
          </w:ffData>
        </w:fldChar>
      </w:r>
      <w:r w:rsidR="00702E2D" w:rsidRPr="00FD0D92">
        <w:rPr>
          <w:rFonts w:ascii="Arial Narrow" w:hAnsi="Arial Narrow"/>
          <w:sz w:val="24"/>
          <w:szCs w:val="24"/>
          <w:u w:val="single"/>
        </w:rPr>
        <w:instrText xml:space="preserve"> FORMTEXT </w:instrText>
      </w:r>
      <w:r w:rsidR="00702E2D" w:rsidRPr="00FD0D92">
        <w:rPr>
          <w:rFonts w:ascii="Arial Narrow" w:hAnsi="Arial Narrow"/>
          <w:sz w:val="24"/>
          <w:szCs w:val="24"/>
          <w:u w:val="single"/>
        </w:rPr>
      </w:r>
      <w:r w:rsidR="00702E2D" w:rsidRPr="00FD0D92">
        <w:rPr>
          <w:rFonts w:ascii="Arial Narrow" w:hAnsi="Arial Narrow"/>
          <w:sz w:val="24"/>
          <w:szCs w:val="24"/>
          <w:u w:val="single"/>
        </w:rPr>
        <w:fldChar w:fldCharType="separate"/>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fldChar w:fldCharType="end"/>
      </w:r>
      <w:r w:rsidRPr="00861A89">
        <w:rPr>
          <w:rFonts w:ascii="Arial Narrow" w:hAnsi="Arial Narrow"/>
          <w:sz w:val="24"/>
          <w:szCs w:val="24"/>
        </w:rPr>
        <w:t>.</w:t>
      </w:r>
      <w:r w:rsidR="00702E2D" w:rsidRPr="00702E2D">
        <w:rPr>
          <w:rFonts w:ascii="Arial Narrow" w:hAnsi="Arial Narrow"/>
          <w:sz w:val="24"/>
          <w:szCs w:val="24"/>
        </w:rPr>
        <w:t xml:space="preserve"> </w:t>
      </w:r>
      <w:r w:rsidR="00702E2D" w:rsidRPr="00A631D2">
        <w:rPr>
          <w:rFonts w:ascii="Arial Narrow" w:hAnsi="Arial Narrow"/>
          <w:sz w:val="24"/>
          <w:szCs w:val="24"/>
        </w:rPr>
        <w:t>If earlier than 202</w:t>
      </w:r>
      <w:r w:rsidR="003176EE">
        <w:rPr>
          <w:rFonts w:ascii="Arial Narrow" w:hAnsi="Arial Narrow"/>
          <w:sz w:val="24"/>
          <w:szCs w:val="24"/>
        </w:rPr>
        <w:t>7</w:t>
      </w:r>
      <w:r w:rsidR="00702E2D" w:rsidRPr="00A631D2">
        <w:rPr>
          <w:rFonts w:ascii="Arial Narrow" w:hAnsi="Arial Narrow"/>
          <w:sz w:val="24"/>
          <w:szCs w:val="24"/>
        </w:rPr>
        <w:t>, explain</w:t>
      </w:r>
      <w:r w:rsidR="00A631D2" w:rsidRPr="00A631D2">
        <w:rPr>
          <w:rFonts w:ascii="Arial Narrow" w:hAnsi="Arial Narrow"/>
          <w:sz w:val="24"/>
          <w:szCs w:val="24"/>
        </w:rPr>
        <w:t xml:space="preserve"> how this will be accomplished</w:t>
      </w:r>
      <w:r w:rsidR="00A631D2">
        <w:rPr>
          <w:rFonts w:ascii="Arial Narrow" w:hAnsi="Arial Narrow"/>
          <w:sz w:val="24"/>
          <w:szCs w:val="24"/>
        </w:rPr>
        <w:t xml:space="preserve"> </w:t>
      </w:r>
      <w:r w:rsidR="00A631D2" w:rsidRPr="00861A89">
        <w:rPr>
          <w:rFonts w:ascii="Arial Narrow" w:hAnsi="Arial Narrow"/>
          <w:sz w:val="24"/>
          <w:szCs w:val="24"/>
        </w:rPr>
        <w:t>(</w:t>
      </w:r>
      <w:r w:rsidR="00A631D2" w:rsidRPr="00861A89">
        <w:rPr>
          <w:rFonts w:ascii="Arial Narrow" w:hAnsi="Arial Narrow"/>
          <w:sz w:val="24"/>
          <w:szCs w:val="24"/>
          <w:u w:val="single"/>
        </w:rPr>
        <w:t>response is required</w:t>
      </w:r>
      <w:r w:rsidR="00A631D2" w:rsidRPr="00702E2D">
        <w:rPr>
          <w:rFonts w:ascii="Arial Narrow" w:hAnsi="Arial Narrow"/>
          <w:sz w:val="24"/>
          <w:szCs w:val="24"/>
        </w:rPr>
        <w:t>)</w:t>
      </w:r>
      <w:r w:rsidR="00702E2D" w:rsidRPr="00702E2D">
        <w:rPr>
          <w:rFonts w:ascii="Arial Narrow" w:hAnsi="Arial Narrow"/>
          <w:sz w:val="24"/>
          <w:szCs w:val="24"/>
        </w:rPr>
        <w:t xml:space="preserve">: </w:t>
      </w:r>
      <w:r w:rsidR="00702E2D" w:rsidRPr="00FD0D92">
        <w:rPr>
          <w:rFonts w:ascii="Arial Narrow" w:hAnsi="Arial Narrow"/>
          <w:sz w:val="24"/>
          <w:szCs w:val="24"/>
          <w:u w:val="single"/>
        </w:rPr>
        <w:fldChar w:fldCharType="begin">
          <w:ffData>
            <w:name w:val="Text188"/>
            <w:enabled/>
            <w:calcOnExit w:val="0"/>
            <w:textInput/>
          </w:ffData>
        </w:fldChar>
      </w:r>
      <w:r w:rsidR="00702E2D" w:rsidRPr="00FD0D92">
        <w:rPr>
          <w:rFonts w:ascii="Arial Narrow" w:hAnsi="Arial Narrow"/>
          <w:sz w:val="24"/>
          <w:szCs w:val="24"/>
          <w:u w:val="single"/>
        </w:rPr>
        <w:instrText xml:space="preserve"> FORMTEXT </w:instrText>
      </w:r>
      <w:r w:rsidR="00702E2D" w:rsidRPr="00FD0D92">
        <w:rPr>
          <w:rFonts w:ascii="Arial Narrow" w:hAnsi="Arial Narrow"/>
          <w:sz w:val="24"/>
          <w:szCs w:val="24"/>
          <w:u w:val="single"/>
        </w:rPr>
      </w:r>
      <w:r w:rsidR="00702E2D" w:rsidRPr="00FD0D92">
        <w:rPr>
          <w:rFonts w:ascii="Arial Narrow" w:hAnsi="Arial Narrow"/>
          <w:sz w:val="24"/>
          <w:szCs w:val="24"/>
          <w:u w:val="single"/>
        </w:rPr>
        <w:fldChar w:fldCharType="separate"/>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fldChar w:fldCharType="end"/>
      </w:r>
    </w:p>
    <w:p w14:paraId="42111AA1" w14:textId="77777777" w:rsidR="00861A89" w:rsidRPr="00861A89" w:rsidRDefault="00861A89" w:rsidP="00040429">
      <w:pPr>
        <w:spacing w:after="0" w:line="240" w:lineRule="auto"/>
        <w:jc w:val="both"/>
        <w:rPr>
          <w:rFonts w:ascii="Arial Narrow" w:hAnsi="Arial Narrow"/>
          <w:sz w:val="24"/>
          <w:szCs w:val="24"/>
        </w:rPr>
      </w:pPr>
    </w:p>
    <w:p w14:paraId="25376A62" w14:textId="77777777" w:rsidR="005867EB" w:rsidRDefault="005867EB" w:rsidP="004B53B8">
      <w:pPr>
        <w:tabs>
          <w:tab w:val="right" w:pos="10080"/>
        </w:tabs>
        <w:spacing w:after="0" w:line="240" w:lineRule="auto"/>
        <w:jc w:val="both"/>
        <w:rPr>
          <w:rFonts w:ascii="Arial Narrow" w:hAnsi="Arial Narrow"/>
          <w:sz w:val="24"/>
          <w:szCs w:val="24"/>
        </w:rPr>
      </w:pPr>
      <w:r>
        <w:rPr>
          <w:rFonts w:ascii="Arial Narrow" w:hAnsi="Arial Narrow"/>
          <w:sz w:val="24"/>
          <w:szCs w:val="24"/>
        </w:rPr>
        <w:t xml:space="preserve">Check this box if your award was based on a 30% increase in basis in the TDHCA underwriting report:  </w:t>
      </w:r>
      <w:r w:rsidR="004B53B8">
        <w:rPr>
          <w:rFonts w:ascii="Arial Narrow" w:hAnsi="Arial Narrow"/>
          <w:sz w:val="24"/>
          <w:szCs w:val="24"/>
        </w:rPr>
        <w:tab/>
      </w:r>
      <w:r>
        <w:rPr>
          <w:rFonts w:ascii="Arial Narrow" w:hAnsi="Arial Narrow"/>
          <w:sz w:val="24"/>
          <w:szCs w:val="24"/>
        </w:rPr>
        <w:fldChar w:fldCharType="begin">
          <w:ffData>
            <w:name w:val=""/>
            <w:enabled/>
            <w:calcOnExit w:val="0"/>
            <w:checkBox>
              <w:sizeAuto/>
              <w:default w:val="0"/>
            </w:checkBox>
          </w:ffData>
        </w:fldChar>
      </w:r>
      <w:r>
        <w:rPr>
          <w:rFonts w:ascii="Arial Narrow" w:hAnsi="Arial Narrow"/>
          <w:sz w:val="24"/>
          <w:szCs w:val="24"/>
        </w:rPr>
        <w:instrText xml:space="preserve"> FORMCHECKBOX </w:instrText>
      </w:r>
      <w:r w:rsidR="00275F36">
        <w:rPr>
          <w:rFonts w:ascii="Arial Narrow" w:hAnsi="Arial Narrow"/>
          <w:sz w:val="24"/>
          <w:szCs w:val="24"/>
        </w:rPr>
      </w:r>
      <w:r w:rsidR="00275F36">
        <w:rPr>
          <w:rFonts w:ascii="Arial Narrow" w:hAnsi="Arial Narrow"/>
          <w:sz w:val="24"/>
          <w:szCs w:val="24"/>
        </w:rPr>
        <w:fldChar w:fldCharType="separate"/>
      </w:r>
      <w:r>
        <w:rPr>
          <w:rFonts w:ascii="Arial Narrow" w:hAnsi="Arial Narrow"/>
          <w:sz w:val="24"/>
          <w:szCs w:val="24"/>
        </w:rPr>
        <w:fldChar w:fldCharType="end"/>
      </w:r>
    </w:p>
    <w:p w14:paraId="59F8E78C" w14:textId="77777777" w:rsidR="00651123" w:rsidRDefault="00651123" w:rsidP="00C948C3">
      <w:pPr>
        <w:spacing w:after="0" w:line="240" w:lineRule="auto"/>
        <w:jc w:val="both"/>
        <w:rPr>
          <w:rFonts w:ascii="Arial Narrow" w:hAnsi="Arial Narrow"/>
          <w:sz w:val="24"/>
          <w:szCs w:val="24"/>
        </w:rPr>
      </w:pPr>
    </w:p>
    <w:p w14:paraId="3CD7DDAC" w14:textId="5EA1A1D6" w:rsidR="00651123" w:rsidRDefault="00BC55D1" w:rsidP="00651123">
      <w:pPr>
        <w:spacing w:after="0" w:line="240" w:lineRule="auto"/>
        <w:jc w:val="both"/>
        <w:rPr>
          <w:rFonts w:ascii="Arial Narrow" w:hAnsi="Arial Narrow"/>
          <w:sz w:val="24"/>
          <w:szCs w:val="24"/>
        </w:rPr>
      </w:pPr>
      <w:r w:rsidRPr="00F14276">
        <w:rPr>
          <w:rFonts w:ascii="Arial Narrow" w:hAnsi="Arial Narrow"/>
          <w:b/>
          <w:sz w:val="24"/>
          <w:szCs w:val="24"/>
        </w:rPr>
        <w:t>Election</w:t>
      </w:r>
      <w:r w:rsidRPr="007C6893">
        <w:rPr>
          <w:rFonts w:ascii="Arial Narrow" w:hAnsi="Arial Narrow"/>
          <w:b/>
          <w:sz w:val="24"/>
          <w:szCs w:val="24"/>
        </w:rPr>
        <w:t>s</w:t>
      </w:r>
      <w:r w:rsidR="00F14276" w:rsidRPr="007C6893">
        <w:rPr>
          <w:rFonts w:ascii="Arial Narrow" w:hAnsi="Arial Narrow"/>
          <w:b/>
          <w:sz w:val="24"/>
          <w:szCs w:val="24"/>
        </w:rPr>
        <w:t xml:space="preserve"> </w:t>
      </w:r>
      <w:r w:rsidR="00F14276" w:rsidRPr="00F14276">
        <w:rPr>
          <w:rFonts w:ascii="Arial Narrow" w:hAnsi="Arial Narrow"/>
          <w:b/>
          <w:sz w:val="24"/>
          <w:szCs w:val="24"/>
        </w:rPr>
        <w:t xml:space="preserve">to fix the applicable percentage </w:t>
      </w:r>
      <w:r w:rsidR="00F14276">
        <w:rPr>
          <w:rFonts w:ascii="Arial Narrow" w:hAnsi="Arial Narrow"/>
          <w:b/>
          <w:sz w:val="24"/>
          <w:szCs w:val="24"/>
        </w:rPr>
        <w:t xml:space="preserve">(AP) </w:t>
      </w:r>
      <w:r w:rsidR="00F14276" w:rsidRPr="00F14276">
        <w:rPr>
          <w:rFonts w:ascii="Arial Narrow" w:hAnsi="Arial Narrow"/>
          <w:b/>
          <w:sz w:val="24"/>
          <w:szCs w:val="24"/>
        </w:rPr>
        <w:t xml:space="preserve">cannot be made unless the published rate for the month of election exceeds 9% or 4% </w:t>
      </w:r>
      <w:r w:rsidR="00F14276">
        <w:rPr>
          <w:rFonts w:ascii="Arial Narrow" w:hAnsi="Arial Narrow"/>
          <w:sz w:val="24"/>
          <w:szCs w:val="24"/>
        </w:rPr>
        <w:t xml:space="preserve">as applicable. Since 2008, </w:t>
      </w:r>
      <w:r w:rsidR="00236FDA">
        <w:rPr>
          <w:rFonts w:ascii="Arial Narrow" w:hAnsi="Arial Narrow"/>
          <w:sz w:val="24"/>
          <w:szCs w:val="24"/>
        </w:rPr>
        <w:t xml:space="preserve">§42(b)(2) </w:t>
      </w:r>
      <w:r w:rsidR="00F14276">
        <w:rPr>
          <w:rFonts w:ascii="Arial Narrow" w:hAnsi="Arial Narrow"/>
          <w:sz w:val="24"/>
          <w:szCs w:val="24"/>
        </w:rPr>
        <w:t>has fixed the AP for non-f</w:t>
      </w:r>
      <w:r w:rsidR="00715CD9">
        <w:rPr>
          <w:rFonts w:ascii="Arial Narrow" w:hAnsi="Arial Narrow"/>
          <w:sz w:val="24"/>
          <w:szCs w:val="24"/>
        </w:rPr>
        <w:t>ederally assisted buildings as no less than</w:t>
      </w:r>
      <w:r w:rsidR="00F14276">
        <w:rPr>
          <w:rFonts w:ascii="Arial Narrow" w:hAnsi="Arial Narrow"/>
          <w:sz w:val="24"/>
          <w:szCs w:val="24"/>
        </w:rPr>
        <w:t xml:space="preserve"> 9%</w:t>
      </w:r>
      <w:r w:rsidR="00263107">
        <w:rPr>
          <w:rFonts w:ascii="Arial Narrow" w:hAnsi="Arial Narrow"/>
          <w:sz w:val="24"/>
          <w:szCs w:val="24"/>
        </w:rPr>
        <w:t>.</w:t>
      </w:r>
      <w:r w:rsidR="00F14276">
        <w:rPr>
          <w:rFonts w:ascii="Arial Narrow" w:hAnsi="Arial Narrow"/>
          <w:sz w:val="24"/>
          <w:szCs w:val="24"/>
        </w:rPr>
        <w:t xml:space="preserve"> </w:t>
      </w:r>
      <w:r w:rsidR="00263107">
        <w:rPr>
          <w:rFonts w:ascii="Arial Narrow" w:hAnsi="Arial Narrow"/>
          <w:sz w:val="24"/>
          <w:szCs w:val="24"/>
        </w:rPr>
        <w:t>S</w:t>
      </w:r>
      <w:r w:rsidR="00715CD9">
        <w:rPr>
          <w:rFonts w:ascii="Arial Narrow" w:hAnsi="Arial Narrow"/>
          <w:sz w:val="24"/>
          <w:szCs w:val="24"/>
        </w:rPr>
        <w:t>ince 2020</w:t>
      </w:r>
      <w:r w:rsidR="00263107">
        <w:rPr>
          <w:rFonts w:ascii="Arial Narrow" w:hAnsi="Arial Narrow"/>
          <w:sz w:val="24"/>
          <w:szCs w:val="24"/>
        </w:rPr>
        <w:t>,</w:t>
      </w:r>
      <w:r w:rsidR="00715CD9">
        <w:rPr>
          <w:rFonts w:ascii="Arial Narrow" w:hAnsi="Arial Narrow"/>
          <w:sz w:val="24"/>
          <w:szCs w:val="24"/>
        </w:rPr>
        <w:t xml:space="preserve"> </w:t>
      </w:r>
      <w:r w:rsidR="00F14276">
        <w:rPr>
          <w:rFonts w:ascii="Arial Narrow" w:hAnsi="Arial Narrow"/>
          <w:sz w:val="24"/>
          <w:szCs w:val="24"/>
        </w:rPr>
        <w:t xml:space="preserve">§42(b)(3) </w:t>
      </w:r>
      <w:r w:rsidR="00715CD9">
        <w:rPr>
          <w:rFonts w:ascii="Arial Narrow" w:hAnsi="Arial Narrow"/>
          <w:sz w:val="24"/>
          <w:szCs w:val="24"/>
        </w:rPr>
        <w:t xml:space="preserve">has </w:t>
      </w:r>
      <w:r w:rsidR="008B4BB3">
        <w:rPr>
          <w:rFonts w:ascii="Arial Narrow" w:hAnsi="Arial Narrow"/>
          <w:sz w:val="24"/>
          <w:szCs w:val="24"/>
        </w:rPr>
        <w:t>fix</w:t>
      </w:r>
      <w:r w:rsidR="007C6893">
        <w:rPr>
          <w:rFonts w:ascii="Arial Narrow" w:hAnsi="Arial Narrow"/>
          <w:sz w:val="24"/>
          <w:szCs w:val="24"/>
        </w:rPr>
        <w:t>ed</w:t>
      </w:r>
      <w:r w:rsidR="008B4BB3">
        <w:rPr>
          <w:rFonts w:ascii="Arial Narrow" w:hAnsi="Arial Narrow"/>
          <w:sz w:val="24"/>
          <w:szCs w:val="24"/>
        </w:rPr>
        <w:t xml:space="preserve"> the </w:t>
      </w:r>
      <w:r w:rsidR="007C6893">
        <w:rPr>
          <w:rFonts w:ascii="Arial Narrow" w:hAnsi="Arial Narrow"/>
          <w:sz w:val="24"/>
          <w:szCs w:val="24"/>
        </w:rPr>
        <w:t xml:space="preserve">AP for all other buildings </w:t>
      </w:r>
      <w:r w:rsidR="008B4BB3">
        <w:rPr>
          <w:rFonts w:ascii="Arial Narrow" w:hAnsi="Arial Narrow"/>
          <w:sz w:val="24"/>
          <w:szCs w:val="24"/>
        </w:rPr>
        <w:t>a</w:t>
      </w:r>
      <w:r w:rsidR="00715CD9">
        <w:rPr>
          <w:rFonts w:ascii="Arial Narrow" w:hAnsi="Arial Narrow"/>
          <w:sz w:val="24"/>
          <w:szCs w:val="24"/>
        </w:rPr>
        <w:t>s no less than</w:t>
      </w:r>
      <w:r w:rsidR="008B4BB3">
        <w:rPr>
          <w:rFonts w:ascii="Arial Narrow" w:hAnsi="Arial Narrow"/>
          <w:sz w:val="24"/>
          <w:szCs w:val="24"/>
        </w:rPr>
        <w:t xml:space="preserve"> </w:t>
      </w:r>
      <w:r w:rsidR="00715CD9">
        <w:rPr>
          <w:rFonts w:ascii="Arial Narrow" w:hAnsi="Arial Narrow"/>
          <w:sz w:val="24"/>
          <w:szCs w:val="24"/>
        </w:rPr>
        <w:t>4</w:t>
      </w:r>
      <w:r w:rsidR="008B4BB3">
        <w:rPr>
          <w:rFonts w:ascii="Arial Narrow" w:hAnsi="Arial Narrow"/>
          <w:sz w:val="24"/>
          <w:szCs w:val="24"/>
        </w:rPr>
        <w:t>%</w:t>
      </w:r>
      <w:r w:rsidR="007C6893">
        <w:rPr>
          <w:rFonts w:ascii="Arial Narrow" w:hAnsi="Arial Narrow"/>
          <w:sz w:val="24"/>
          <w:szCs w:val="24"/>
        </w:rPr>
        <w:t xml:space="preserve">. If </w:t>
      </w:r>
      <w:r w:rsidR="00715CD9">
        <w:rPr>
          <w:rFonts w:ascii="Arial Narrow" w:hAnsi="Arial Narrow"/>
          <w:sz w:val="24"/>
          <w:szCs w:val="24"/>
        </w:rPr>
        <w:t xml:space="preserve">the published APs for the month that TDHCA will execute the CAA </w:t>
      </w:r>
      <w:r w:rsidR="007C6893">
        <w:rPr>
          <w:rFonts w:ascii="Arial Narrow" w:hAnsi="Arial Narrow"/>
          <w:sz w:val="24"/>
          <w:szCs w:val="24"/>
        </w:rPr>
        <w:t>exceed</w:t>
      </w:r>
      <w:r w:rsidR="00715CD9">
        <w:rPr>
          <w:rFonts w:ascii="Arial Narrow" w:hAnsi="Arial Narrow"/>
          <w:sz w:val="24"/>
          <w:szCs w:val="24"/>
        </w:rPr>
        <w:t xml:space="preserve"> 9% or 4%, </w:t>
      </w:r>
      <w:r w:rsidR="007C6893">
        <w:rPr>
          <w:rFonts w:ascii="Arial Narrow" w:hAnsi="Arial Narrow"/>
          <w:sz w:val="24"/>
          <w:szCs w:val="24"/>
        </w:rPr>
        <w:t xml:space="preserve">you may notify staff that you wish to </w:t>
      </w:r>
      <w:r w:rsidR="00651123">
        <w:rPr>
          <w:rFonts w:ascii="Arial Narrow" w:hAnsi="Arial Narrow"/>
          <w:sz w:val="24"/>
          <w:szCs w:val="24"/>
        </w:rPr>
        <w:t xml:space="preserve">fix the </w:t>
      </w:r>
      <w:r w:rsidR="001734DA">
        <w:rPr>
          <w:rFonts w:ascii="Arial Narrow" w:hAnsi="Arial Narrow"/>
          <w:sz w:val="24"/>
          <w:szCs w:val="24"/>
        </w:rPr>
        <w:t>AP</w:t>
      </w:r>
      <w:r w:rsidR="00651123">
        <w:rPr>
          <w:rFonts w:ascii="Arial Narrow" w:hAnsi="Arial Narrow"/>
          <w:sz w:val="24"/>
          <w:szCs w:val="24"/>
        </w:rPr>
        <w:t xml:space="preserve"> as </w:t>
      </w:r>
      <w:r w:rsidR="001734DA">
        <w:rPr>
          <w:rFonts w:ascii="Arial Narrow" w:hAnsi="Arial Narrow"/>
          <w:sz w:val="24"/>
          <w:szCs w:val="24"/>
        </w:rPr>
        <w:t xml:space="preserve">the AP </w:t>
      </w:r>
      <w:r w:rsidR="00715CD9">
        <w:rPr>
          <w:rFonts w:ascii="Arial Narrow" w:hAnsi="Arial Narrow"/>
          <w:sz w:val="24"/>
          <w:szCs w:val="24"/>
        </w:rPr>
        <w:t>of such month.</w:t>
      </w:r>
      <w:r w:rsidR="00ED0CE0">
        <w:rPr>
          <w:rFonts w:ascii="Arial Narrow" w:hAnsi="Arial Narrow"/>
          <w:sz w:val="24"/>
          <w:szCs w:val="24"/>
        </w:rPr>
        <w:t xml:space="preserve"> In general, TDHCA executes CAAs in December.</w:t>
      </w:r>
    </w:p>
    <w:p w14:paraId="405FD3F8" w14:textId="77777777" w:rsidR="00A97455" w:rsidRDefault="00A97455" w:rsidP="00651123">
      <w:pPr>
        <w:spacing w:after="0" w:line="240" w:lineRule="auto"/>
        <w:jc w:val="both"/>
        <w:rPr>
          <w:rFonts w:ascii="Arial Narrow" w:hAnsi="Arial Narrow"/>
          <w:sz w:val="24"/>
          <w:szCs w:val="24"/>
        </w:rPr>
      </w:pPr>
    </w:p>
    <w:p w14:paraId="3753ABAF" w14:textId="77777777" w:rsidR="00715CD9" w:rsidRDefault="00A97455" w:rsidP="00C568B8">
      <w:pPr>
        <w:autoSpaceDE w:val="0"/>
        <w:autoSpaceDN w:val="0"/>
        <w:adjustRightInd w:val="0"/>
        <w:spacing w:after="0" w:line="240" w:lineRule="auto"/>
        <w:jc w:val="both"/>
        <w:rPr>
          <w:rFonts w:ascii="Arial Narrow" w:hAnsi="Arial Narrow"/>
          <w:sz w:val="24"/>
          <w:szCs w:val="24"/>
        </w:rPr>
      </w:pPr>
      <w:r>
        <w:rPr>
          <w:rFonts w:ascii="Arial Narrow" w:hAnsi="Arial Narrow"/>
          <w:b/>
          <w:sz w:val="24"/>
          <w:szCs w:val="24"/>
        </w:rPr>
        <w:t>For an application</w:t>
      </w:r>
      <w:r w:rsidR="000A4112">
        <w:rPr>
          <w:rFonts w:ascii="Arial Narrow" w:hAnsi="Arial Narrow"/>
          <w:b/>
          <w:sz w:val="24"/>
          <w:szCs w:val="24"/>
        </w:rPr>
        <w:t xml:space="preserve"> </w:t>
      </w:r>
      <w:r w:rsidR="000317EF" w:rsidRPr="00861A89">
        <w:rPr>
          <w:rFonts w:ascii="Arial Narrow" w:hAnsi="Arial Narrow"/>
          <w:b/>
          <w:sz w:val="24"/>
          <w:szCs w:val="24"/>
        </w:rPr>
        <w:t>in the Nonprofit Set-Aside enter the</w:t>
      </w:r>
      <w:r w:rsidR="0092487E">
        <w:rPr>
          <w:rFonts w:ascii="Arial Narrow" w:hAnsi="Arial Narrow"/>
          <w:b/>
          <w:sz w:val="24"/>
          <w:szCs w:val="24"/>
        </w:rPr>
        <w:t xml:space="preserve"> name of the nonprofit </w:t>
      </w:r>
      <w:r w:rsidR="000317EF" w:rsidRPr="00861A89">
        <w:rPr>
          <w:rFonts w:ascii="Arial Narrow" w:hAnsi="Arial Narrow"/>
          <w:b/>
          <w:sz w:val="24"/>
          <w:szCs w:val="24"/>
        </w:rPr>
        <w:t>organization</w:t>
      </w:r>
      <w:r w:rsidR="0092487E">
        <w:rPr>
          <w:rFonts w:ascii="Arial Narrow" w:hAnsi="Arial Narrow"/>
          <w:b/>
          <w:sz w:val="24"/>
          <w:szCs w:val="24"/>
        </w:rPr>
        <w:t xml:space="preserve"> exactly as</w:t>
      </w:r>
      <w:r w:rsidR="0092487E" w:rsidRPr="00861A89">
        <w:rPr>
          <w:rFonts w:ascii="Arial Narrow" w:hAnsi="Arial Narrow"/>
          <w:b/>
          <w:sz w:val="24"/>
          <w:szCs w:val="24"/>
        </w:rPr>
        <w:t xml:space="preserve"> registered</w:t>
      </w:r>
      <w:r w:rsidR="0092487E">
        <w:rPr>
          <w:rFonts w:ascii="Arial Narrow" w:hAnsi="Arial Narrow"/>
          <w:b/>
          <w:sz w:val="24"/>
          <w:szCs w:val="24"/>
        </w:rPr>
        <w:t xml:space="preserve"> (punctuated, etc</w:t>
      </w:r>
      <w:r w:rsidR="0092487E" w:rsidRPr="0092487E">
        <w:rPr>
          <w:rFonts w:ascii="Arial Narrow" w:hAnsi="Arial Narrow"/>
          <w:b/>
          <w:sz w:val="24"/>
          <w:szCs w:val="24"/>
        </w:rPr>
        <w:t>.)</w:t>
      </w:r>
      <w:r w:rsidR="0092487E">
        <w:rPr>
          <w:rFonts w:ascii="Arial Narrow" w:hAnsi="Arial Narrow"/>
          <w:b/>
          <w:sz w:val="24"/>
          <w:szCs w:val="24"/>
        </w:rPr>
        <w:t xml:space="preserve"> with the </w:t>
      </w:r>
      <w:r w:rsidR="0050589A">
        <w:rPr>
          <w:rFonts w:ascii="Arial Narrow" w:hAnsi="Arial Narrow"/>
          <w:b/>
          <w:sz w:val="24"/>
          <w:szCs w:val="24"/>
        </w:rPr>
        <w:t xml:space="preserve">secretary of state of the state </w:t>
      </w:r>
      <w:r w:rsidR="004B53B8">
        <w:rPr>
          <w:rFonts w:ascii="Arial Narrow" w:hAnsi="Arial Narrow"/>
          <w:b/>
          <w:sz w:val="24"/>
          <w:szCs w:val="24"/>
        </w:rPr>
        <w:t>where</w:t>
      </w:r>
      <w:r w:rsidR="0050589A">
        <w:rPr>
          <w:rFonts w:ascii="Arial Narrow" w:hAnsi="Arial Narrow"/>
          <w:b/>
          <w:sz w:val="24"/>
          <w:szCs w:val="24"/>
        </w:rPr>
        <w:t xml:space="preserve"> the nonprofit organization was organized</w:t>
      </w:r>
      <w:r w:rsidR="000A4112">
        <w:rPr>
          <w:rFonts w:ascii="Arial Narrow" w:hAnsi="Arial Narrow"/>
          <w:b/>
          <w:sz w:val="24"/>
          <w:szCs w:val="24"/>
        </w:rPr>
        <w:t>:</w:t>
      </w:r>
      <w:r w:rsidR="000317EF" w:rsidRPr="00861A89">
        <w:rPr>
          <w:rFonts w:ascii="Arial Narrow" w:hAnsi="Arial Narrow"/>
          <w:sz w:val="24"/>
          <w:szCs w:val="24"/>
        </w:rPr>
        <w:t xml:space="preserve"> </w:t>
      </w:r>
      <w:r w:rsidR="00DA2EEF" w:rsidRPr="00861A89">
        <w:rPr>
          <w:rFonts w:ascii="Arial Narrow" w:hAnsi="Arial Narrow"/>
          <w:sz w:val="24"/>
          <w:szCs w:val="24"/>
          <w:u w:val="single"/>
        </w:rPr>
        <w:fldChar w:fldCharType="begin">
          <w:ffData>
            <w:name w:val="Text188"/>
            <w:enabled/>
            <w:calcOnExit w:val="0"/>
            <w:textInput/>
          </w:ffData>
        </w:fldChar>
      </w:r>
      <w:r w:rsidR="000317EF" w:rsidRPr="00861A89">
        <w:rPr>
          <w:rFonts w:ascii="Arial Narrow" w:hAnsi="Arial Narrow"/>
          <w:sz w:val="24"/>
          <w:szCs w:val="24"/>
          <w:u w:val="single"/>
        </w:rPr>
        <w:instrText xml:space="preserve"> FORMTEXT </w:instrText>
      </w:r>
      <w:r w:rsidR="00DA2EEF" w:rsidRPr="00861A89">
        <w:rPr>
          <w:rFonts w:ascii="Arial Narrow" w:hAnsi="Arial Narrow"/>
          <w:sz w:val="24"/>
          <w:szCs w:val="24"/>
          <w:u w:val="single"/>
        </w:rPr>
      </w:r>
      <w:r w:rsidR="00DA2EEF" w:rsidRPr="00861A89">
        <w:rPr>
          <w:rFonts w:ascii="Arial Narrow" w:hAnsi="Arial Narrow"/>
          <w:sz w:val="24"/>
          <w:szCs w:val="24"/>
          <w:u w:val="single"/>
        </w:rPr>
        <w:fldChar w:fldCharType="separate"/>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DA2EEF" w:rsidRPr="00861A89">
        <w:rPr>
          <w:rFonts w:ascii="Arial Narrow" w:hAnsi="Arial Narrow"/>
          <w:sz w:val="24"/>
          <w:szCs w:val="24"/>
          <w:u w:val="single"/>
        </w:rPr>
        <w:fldChar w:fldCharType="end"/>
      </w:r>
      <w:r w:rsidR="000317EF" w:rsidRPr="00861A89">
        <w:rPr>
          <w:rFonts w:ascii="Arial Narrow" w:hAnsi="Arial Narrow"/>
          <w:sz w:val="24"/>
          <w:szCs w:val="24"/>
        </w:rPr>
        <w:t>.</w:t>
      </w:r>
    </w:p>
    <w:p w14:paraId="1FEE2335" w14:textId="77777777" w:rsidR="00A97455" w:rsidRDefault="00A97455">
      <w:pPr>
        <w:spacing w:after="0" w:line="240" w:lineRule="auto"/>
        <w:rPr>
          <w:rFonts w:ascii="Arial Narrow" w:hAnsi="Arial Narrow"/>
          <w:sz w:val="24"/>
          <w:szCs w:val="24"/>
        </w:rPr>
      </w:pPr>
    </w:p>
    <w:p w14:paraId="0DC95870" w14:textId="396D211E" w:rsidR="0023327A" w:rsidRDefault="000F301E" w:rsidP="000F301E">
      <w:pPr>
        <w:autoSpaceDE w:val="0"/>
        <w:autoSpaceDN w:val="0"/>
        <w:adjustRightInd w:val="0"/>
        <w:spacing w:before="120" w:after="0" w:line="240" w:lineRule="auto"/>
        <w:jc w:val="both"/>
        <w:rPr>
          <w:rFonts w:ascii="Arial Narrow" w:hAnsi="Arial Narrow"/>
          <w:sz w:val="24"/>
          <w:szCs w:val="24"/>
        </w:rPr>
      </w:pPr>
      <w:r w:rsidRPr="00861A89">
        <w:rPr>
          <w:rFonts w:ascii="Arial Narrow" w:hAnsi="Arial Narrow"/>
          <w:sz w:val="24"/>
          <w:szCs w:val="24"/>
        </w:rPr>
        <w:t xml:space="preserve">Provide the signature block for the CAA, below. </w:t>
      </w:r>
      <w:r w:rsidR="00BB135C">
        <w:rPr>
          <w:rFonts w:ascii="Arial Narrow" w:hAnsi="Arial Narrow"/>
          <w:b/>
          <w:sz w:val="24"/>
          <w:szCs w:val="24"/>
          <w:u w:val="single"/>
        </w:rPr>
        <w:t>O</w:t>
      </w:r>
      <w:r w:rsidR="00BB135C" w:rsidRPr="006F75AC">
        <w:rPr>
          <w:rFonts w:ascii="Arial Narrow" w:hAnsi="Arial Narrow"/>
          <w:b/>
          <w:sz w:val="24"/>
          <w:szCs w:val="24"/>
          <w:u w:val="single"/>
        </w:rPr>
        <w:t>nly one person should sign the CAA</w:t>
      </w:r>
      <w:r w:rsidR="00BB135C" w:rsidRPr="00BB135C">
        <w:rPr>
          <w:rFonts w:ascii="Arial Narrow" w:hAnsi="Arial Narrow"/>
          <w:sz w:val="24"/>
          <w:szCs w:val="24"/>
        </w:rPr>
        <w:t>.</w:t>
      </w:r>
      <w:r w:rsidR="00BB135C">
        <w:rPr>
          <w:rFonts w:ascii="Arial Narrow" w:hAnsi="Arial Narrow"/>
          <w:sz w:val="24"/>
          <w:szCs w:val="24"/>
        </w:rPr>
        <w:t xml:space="preserve"> </w:t>
      </w:r>
      <w:r w:rsidRPr="00861A89">
        <w:rPr>
          <w:rFonts w:ascii="Arial Narrow" w:hAnsi="Arial Narrow"/>
          <w:sz w:val="24"/>
          <w:szCs w:val="24"/>
        </w:rPr>
        <w:t>Organization names must exactly match</w:t>
      </w:r>
      <w:r w:rsidR="005867EB">
        <w:rPr>
          <w:rFonts w:ascii="Arial Narrow" w:hAnsi="Arial Narrow"/>
          <w:sz w:val="24"/>
          <w:szCs w:val="24"/>
        </w:rPr>
        <w:t xml:space="preserve"> </w:t>
      </w:r>
      <w:r w:rsidR="00BB135C">
        <w:rPr>
          <w:rFonts w:ascii="Arial Narrow" w:hAnsi="Arial Narrow"/>
          <w:sz w:val="24"/>
          <w:szCs w:val="24"/>
        </w:rPr>
        <w:t>the</w:t>
      </w:r>
      <w:r w:rsidR="005867EB">
        <w:rPr>
          <w:rFonts w:ascii="Arial Narrow" w:hAnsi="Arial Narrow"/>
          <w:sz w:val="24"/>
          <w:szCs w:val="24"/>
        </w:rPr>
        <w:t xml:space="preserve"> spelling, punctuation, etc.</w:t>
      </w:r>
      <w:r w:rsidR="00ED0CE0">
        <w:rPr>
          <w:rFonts w:ascii="Arial Narrow" w:hAnsi="Arial Narrow"/>
          <w:sz w:val="24"/>
          <w:szCs w:val="24"/>
        </w:rPr>
        <w:t>,</w:t>
      </w:r>
      <w:r w:rsidR="005867EB">
        <w:rPr>
          <w:rFonts w:ascii="Arial Narrow" w:hAnsi="Arial Narrow"/>
          <w:sz w:val="24"/>
          <w:szCs w:val="24"/>
        </w:rPr>
        <w:t xml:space="preserve"> </w:t>
      </w:r>
      <w:r w:rsidR="00BB135C">
        <w:rPr>
          <w:rFonts w:ascii="Arial Narrow" w:hAnsi="Arial Narrow"/>
          <w:sz w:val="24"/>
          <w:szCs w:val="24"/>
        </w:rPr>
        <w:t xml:space="preserve">of </w:t>
      </w:r>
      <w:r w:rsidRPr="00861A89">
        <w:rPr>
          <w:rFonts w:ascii="Arial Narrow" w:hAnsi="Arial Narrow"/>
          <w:sz w:val="24"/>
          <w:szCs w:val="24"/>
        </w:rPr>
        <w:t xml:space="preserve">names registered </w:t>
      </w:r>
      <w:r w:rsidR="005867EB">
        <w:rPr>
          <w:rFonts w:ascii="Arial Narrow" w:hAnsi="Arial Narrow"/>
          <w:sz w:val="24"/>
          <w:szCs w:val="24"/>
        </w:rPr>
        <w:t xml:space="preserve">with the secretary of state </w:t>
      </w:r>
      <w:r w:rsidR="005A6D45">
        <w:rPr>
          <w:rFonts w:ascii="Arial Narrow" w:hAnsi="Arial Narrow"/>
          <w:sz w:val="24"/>
          <w:szCs w:val="24"/>
        </w:rPr>
        <w:t>of</w:t>
      </w:r>
      <w:r w:rsidRPr="00861A89">
        <w:rPr>
          <w:rFonts w:ascii="Arial Narrow" w:hAnsi="Arial Narrow"/>
          <w:sz w:val="24"/>
          <w:szCs w:val="24"/>
        </w:rPr>
        <w:t xml:space="preserve"> the state where formed. </w:t>
      </w:r>
      <w:r w:rsidR="00BB135C">
        <w:rPr>
          <w:rFonts w:ascii="Arial Narrow" w:hAnsi="Arial Narrow"/>
          <w:sz w:val="24"/>
          <w:szCs w:val="24"/>
        </w:rPr>
        <w:t xml:space="preserve">MFP staff will seek </w:t>
      </w:r>
      <w:r w:rsidR="004F2568">
        <w:rPr>
          <w:rFonts w:ascii="Arial Narrow" w:hAnsi="Arial Narrow"/>
          <w:sz w:val="24"/>
          <w:szCs w:val="24"/>
        </w:rPr>
        <w:t>filing information on</w:t>
      </w:r>
      <w:r w:rsidR="00FE2E15">
        <w:rPr>
          <w:rFonts w:ascii="Arial Narrow" w:hAnsi="Arial Narrow"/>
          <w:sz w:val="24"/>
          <w:szCs w:val="24"/>
        </w:rPr>
        <w:t xml:space="preserve"> the</w:t>
      </w:r>
      <w:r w:rsidR="004F2568">
        <w:rPr>
          <w:rFonts w:ascii="Arial Narrow" w:hAnsi="Arial Narrow"/>
          <w:sz w:val="24"/>
          <w:szCs w:val="24"/>
        </w:rPr>
        <w:t xml:space="preserve"> </w:t>
      </w:r>
      <w:r w:rsidR="00ED0CE0">
        <w:rPr>
          <w:rFonts w:ascii="Arial Narrow" w:hAnsi="Arial Narrow"/>
          <w:sz w:val="24"/>
          <w:szCs w:val="24"/>
        </w:rPr>
        <w:t xml:space="preserve">Texas </w:t>
      </w:r>
      <w:r w:rsidR="00FE2E15">
        <w:rPr>
          <w:rFonts w:ascii="Arial Narrow" w:hAnsi="Arial Narrow"/>
          <w:sz w:val="24"/>
          <w:szCs w:val="24"/>
        </w:rPr>
        <w:t xml:space="preserve">SOS websites to document signature authority. </w:t>
      </w:r>
      <w:r w:rsidR="00FE2E15" w:rsidRPr="00A0129A">
        <w:rPr>
          <w:rFonts w:ascii="Arial Narrow" w:hAnsi="Arial Narrow"/>
          <w:b/>
          <w:bCs/>
          <w:sz w:val="24"/>
          <w:szCs w:val="24"/>
        </w:rPr>
        <w:t xml:space="preserve">Organizations formed in foreign states must be documented by </w:t>
      </w:r>
      <w:r w:rsidR="00A0129A" w:rsidRPr="00A0129A">
        <w:rPr>
          <w:rFonts w:ascii="Arial Narrow" w:hAnsi="Arial Narrow"/>
          <w:b/>
          <w:bCs/>
          <w:sz w:val="24"/>
          <w:szCs w:val="24"/>
        </w:rPr>
        <w:t xml:space="preserve">submission of </w:t>
      </w:r>
      <w:r w:rsidR="00FE2E15" w:rsidRPr="00A0129A">
        <w:rPr>
          <w:rFonts w:ascii="Arial Narrow" w:hAnsi="Arial Narrow"/>
          <w:b/>
          <w:bCs/>
          <w:sz w:val="24"/>
          <w:szCs w:val="24"/>
        </w:rPr>
        <w:t xml:space="preserve">the current </w:t>
      </w:r>
      <w:r w:rsidR="00A0129A" w:rsidRPr="00A0129A">
        <w:rPr>
          <w:rFonts w:ascii="Arial Narrow" w:hAnsi="Arial Narrow"/>
          <w:b/>
          <w:bCs/>
          <w:sz w:val="24"/>
          <w:szCs w:val="24"/>
        </w:rPr>
        <w:t>record from the foreign state SOS website showing that such organizations are formed and active.</w:t>
      </w:r>
    </w:p>
    <w:p w14:paraId="00526C4D" w14:textId="77777777" w:rsidR="000F301E" w:rsidRPr="00861A89" w:rsidRDefault="000F301E" w:rsidP="000F301E">
      <w:pPr>
        <w:autoSpaceDE w:val="0"/>
        <w:autoSpaceDN w:val="0"/>
        <w:adjustRightInd w:val="0"/>
        <w:spacing w:before="120" w:after="0" w:line="240" w:lineRule="auto"/>
        <w:jc w:val="both"/>
        <w:rPr>
          <w:rFonts w:ascii="Arial Narrow" w:hAnsi="Arial Narrow"/>
          <w:sz w:val="24"/>
          <w:szCs w:val="24"/>
        </w:rPr>
      </w:pPr>
      <w:r w:rsidRPr="00861A89">
        <w:rPr>
          <w:rFonts w:ascii="Arial Narrow" w:hAnsi="Arial Narrow"/>
          <w:sz w:val="24"/>
          <w:szCs w:val="24"/>
        </w:rPr>
        <w:t>This is the format for signature blocks:</w:t>
      </w:r>
    </w:p>
    <w:p w14:paraId="75116E82" w14:textId="2A9C59BF" w:rsidR="000F301E" w:rsidRPr="00861A89" w:rsidRDefault="000F301E" w:rsidP="000F301E">
      <w:pPr>
        <w:spacing w:before="120" w:after="0" w:line="240" w:lineRule="auto"/>
        <w:ind w:left="446" w:hanging="446"/>
        <w:jc w:val="both"/>
        <w:rPr>
          <w:rFonts w:ascii="Arial Narrow" w:hAnsi="Arial Narrow"/>
          <w:b/>
          <w:sz w:val="24"/>
          <w:szCs w:val="24"/>
        </w:rPr>
      </w:pPr>
      <w:r w:rsidRPr="00861A89">
        <w:rPr>
          <w:rFonts w:ascii="Arial Narrow" w:hAnsi="Arial Narrow"/>
          <w:b/>
          <w:sz w:val="24"/>
          <w:szCs w:val="24"/>
        </w:rPr>
        <w:t xml:space="preserve">NAME OF OWNER, </w:t>
      </w:r>
      <w:r w:rsidRPr="00861A89">
        <w:rPr>
          <w:rFonts w:ascii="Arial Narrow" w:hAnsi="Arial Narrow"/>
          <w:sz w:val="24"/>
          <w:szCs w:val="24"/>
        </w:rPr>
        <w:t>a Texas limited partnership</w:t>
      </w:r>
    </w:p>
    <w:p w14:paraId="38C95555" w14:textId="77777777" w:rsidR="000F301E" w:rsidRPr="00861A89" w:rsidRDefault="000F301E" w:rsidP="006F75AC">
      <w:pPr>
        <w:spacing w:after="0" w:line="240" w:lineRule="auto"/>
        <w:ind w:left="540" w:hanging="547"/>
        <w:jc w:val="both"/>
        <w:rPr>
          <w:rFonts w:ascii="Arial Narrow" w:hAnsi="Arial Narrow"/>
          <w:b/>
          <w:sz w:val="24"/>
          <w:szCs w:val="24"/>
        </w:rPr>
      </w:pPr>
      <w:r w:rsidRPr="00861A89">
        <w:rPr>
          <w:rFonts w:ascii="Arial Narrow" w:hAnsi="Arial Narrow"/>
          <w:sz w:val="24"/>
          <w:szCs w:val="24"/>
        </w:rPr>
        <w:t>By:</w:t>
      </w:r>
      <w:r w:rsidRPr="00861A89">
        <w:rPr>
          <w:rFonts w:ascii="Arial Narrow" w:hAnsi="Arial Narrow"/>
          <w:sz w:val="24"/>
          <w:szCs w:val="24"/>
        </w:rPr>
        <w:tab/>
        <w:t>NAME OF GENERAL PARTNER, a Texas limited liability company, its general partner</w:t>
      </w:r>
    </w:p>
    <w:p w14:paraId="1EDB7985" w14:textId="77777777" w:rsidR="000F301E" w:rsidRPr="00861A89" w:rsidRDefault="000F301E" w:rsidP="006F75AC">
      <w:pPr>
        <w:spacing w:after="0" w:line="240" w:lineRule="auto"/>
        <w:ind w:left="540" w:hanging="547"/>
        <w:jc w:val="both"/>
        <w:rPr>
          <w:rFonts w:ascii="Arial Narrow" w:hAnsi="Arial Narrow"/>
          <w:sz w:val="24"/>
          <w:szCs w:val="24"/>
        </w:rPr>
      </w:pPr>
      <w:r w:rsidRPr="00861A89">
        <w:rPr>
          <w:rFonts w:ascii="Arial Narrow" w:hAnsi="Arial Narrow"/>
          <w:sz w:val="24"/>
          <w:szCs w:val="24"/>
        </w:rPr>
        <w:t>By:</w:t>
      </w:r>
      <w:r w:rsidRPr="00861A89">
        <w:rPr>
          <w:rFonts w:ascii="Arial Narrow" w:hAnsi="Arial Narrow"/>
          <w:sz w:val="24"/>
          <w:szCs w:val="24"/>
        </w:rPr>
        <w:tab/>
        <w:t>NAME OF MEMBER OF GENERAL PARTNER, a Texas limited liability company, its managing member</w:t>
      </w:r>
    </w:p>
    <w:p w14:paraId="64D19C69" w14:textId="77777777" w:rsidR="000F301E" w:rsidRPr="00861A89" w:rsidRDefault="000F301E" w:rsidP="008759F5">
      <w:pPr>
        <w:tabs>
          <w:tab w:val="right" w:leader="underscore" w:pos="7200"/>
        </w:tabs>
        <w:spacing w:after="0" w:line="240" w:lineRule="auto"/>
        <w:ind w:left="450" w:hanging="450"/>
        <w:jc w:val="both"/>
        <w:rPr>
          <w:rFonts w:ascii="Arial Narrow" w:hAnsi="Arial Narrow"/>
          <w:sz w:val="24"/>
          <w:szCs w:val="24"/>
        </w:rPr>
      </w:pPr>
      <w:r w:rsidRPr="00861A89">
        <w:rPr>
          <w:rFonts w:ascii="Arial Narrow" w:hAnsi="Arial Narrow"/>
          <w:sz w:val="24"/>
          <w:szCs w:val="24"/>
        </w:rPr>
        <w:t>By:</w:t>
      </w:r>
      <w:r w:rsidRPr="00861A89">
        <w:rPr>
          <w:rFonts w:ascii="Arial Narrow" w:hAnsi="Arial Narrow"/>
          <w:sz w:val="24"/>
          <w:szCs w:val="24"/>
        </w:rPr>
        <w:tab/>
      </w:r>
      <w:r w:rsidRPr="00861A89">
        <w:rPr>
          <w:rFonts w:ascii="Arial Narrow" w:hAnsi="Arial Narrow"/>
          <w:sz w:val="24"/>
          <w:szCs w:val="24"/>
        </w:rPr>
        <w:tab/>
      </w:r>
    </w:p>
    <w:p w14:paraId="586A51B8" w14:textId="77777777" w:rsidR="000F301E" w:rsidRPr="00861A89" w:rsidRDefault="000F301E" w:rsidP="006F75AC">
      <w:pPr>
        <w:tabs>
          <w:tab w:val="right" w:leader="underscore" w:pos="6480"/>
        </w:tabs>
        <w:spacing w:after="0" w:line="240" w:lineRule="auto"/>
        <w:ind w:left="540"/>
        <w:jc w:val="both"/>
        <w:rPr>
          <w:rFonts w:ascii="Arial Narrow" w:hAnsi="Arial Narrow"/>
          <w:sz w:val="24"/>
          <w:szCs w:val="24"/>
        </w:rPr>
      </w:pPr>
      <w:r w:rsidRPr="00861A89">
        <w:rPr>
          <w:rFonts w:ascii="Arial Narrow" w:hAnsi="Arial Narrow"/>
          <w:sz w:val="24"/>
          <w:szCs w:val="24"/>
        </w:rPr>
        <w:t>Name, Title</w:t>
      </w:r>
    </w:p>
    <w:p w14:paraId="01CDD710" w14:textId="77777777" w:rsidR="000F301E" w:rsidRPr="00861A89" w:rsidRDefault="00557958" w:rsidP="000F301E">
      <w:pPr>
        <w:autoSpaceDE w:val="0"/>
        <w:autoSpaceDN w:val="0"/>
        <w:adjustRightInd w:val="0"/>
        <w:spacing w:before="120" w:after="0" w:line="240" w:lineRule="auto"/>
        <w:jc w:val="both"/>
        <w:rPr>
          <w:rFonts w:ascii="Arial Narrow" w:hAnsi="Arial Narrow"/>
          <w:sz w:val="24"/>
          <w:szCs w:val="24"/>
        </w:rPr>
      </w:pPr>
      <w:r>
        <w:rPr>
          <w:rFonts w:ascii="Arial Narrow" w:hAnsi="Arial Narrow"/>
          <w:sz w:val="24"/>
          <w:szCs w:val="24"/>
        </w:rPr>
        <w:t>U</w:t>
      </w:r>
      <w:r w:rsidRPr="00861A89">
        <w:rPr>
          <w:rFonts w:ascii="Arial Narrow" w:hAnsi="Arial Narrow"/>
          <w:sz w:val="24"/>
          <w:szCs w:val="24"/>
        </w:rPr>
        <w:t>s</w:t>
      </w:r>
      <w:r>
        <w:rPr>
          <w:rFonts w:ascii="Arial Narrow" w:hAnsi="Arial Narrow"/>
          <w:sz w:val="24"/>
          <w:szCs w:val="24"/>
        </w:rPr>
        <w:t>ing</w:t>
      </w:r>
      <w:r w:rsidRPr="00861A89">
        <w:rPr>
          <w:rFonts w:ascii="Arial Narrow" w:hAnsi="Arial Narrow"/>
          <w:sz w:val="24"/>
          <w:szCs w:val="24"/>
        </w:rPr>
        <w:t xml:space="preserve"> the format above</w:t>
      </w:r>
      <w:r>
        <w:rPr>
          <w:rFonts w:ascii="Arial Narrow" w:hAnsi="Arial Narrow"/>
          <w:sz w:val="24"/>
          <w:szCs w:val="24"/>
        </w:rPr>
        <w:t>,</w:t>
      </w:r>
      <w:r w:rsidRPr="00861A89">
        <w:rPr>
          <w:rFonts w:ascii="Arial Narrow" w:hAnsi="Arial Narrow"/>
          <w:sz w:val="24"/>
          <w:szCs w:val="24"/>
        </w:rPr>
        <w:t xml:space="preserve"> </w:t>
      </w:r>
      <w:r>
        <w:rPr>
          <w:rFonts w:ascii="Arial Narrow" w:hAnsi="Arial Narrow"/>
          <w:sz w:val="24"/>
          <w:szCs w:val="24"/>
        </w:rPr>
        <w:t>i</w:t>
      </w:r>
      <w:r w:rsidR="000F301E" w:rsidRPr="00861A89">
        <w:rPr>
          <w:rFonts w:ascii="Arial Narrow" w:hAnsi="Arial Narrow"/>
          <w:sz w:val="24"/>
          <w:szCs w:val="24"/>
        </w:rPr>
        <w:t>ndicate the signature block below</w:t>
      </w:r>
      <w:r>
        <w:rPr>
          <w:rFonts w:ascii="Arial Narrow" w:hAnsi="Arial Narrow"/>
          <w:sz w:val="24"/>
          <w:szCs w:val="24"/>
        </w:rPr>
        <w:t xml:space="preserve">. </w:t>
      </w:r>
      <w:r w:rsidR="00504A00">
        <w:rPr>
          <w:rFonts w:ascii="Arial Narrow" w:hAnsi="Arial Narrow"/>
          <w:sz w:val="24"/>
          <w:szCs w:val="24"/>
        </w:rPr>
        <w:t>It is not necessary to bold or indent the names. The space will expand to contain your input</w:t>
      </w:r>
      <w:r>
        <w:rPr>
          <w:rFonts w:ascii="Arial Narrow" w:hAnsi="Arial Narrow"/>
          <w:sz w:val="24"/>
          <w:szCs w:val="24"/>
        </w:rPr>
        <w:t>.</w:t>
      </w:r>
    </w:p>
    <w:tbl>
      <w:tblPr>
        <w:tblW w:w="0" w:type="auto"/>
        <w:tblInd w:w="108" w:type="dxa"/>
        <w:tblBorders>
          <w:bottom w:val="single" w:sz="4" w:space="0" w:color="auto"/>
        </w:tblBorders>
        <w:tblLook w:val="04A0" w:firstRow="1" w:lastRow="0" w:firstColumn="1" w:lastColumn="0" w:noHBand="0" w:noVBand="1"/>
      </w:tblPr>
      <w:tblGrid>
        <w:gridCol w:w="9972"/>
      </w:tblGrid>
      <w:tr w:rsidR="000F301E" w:rsidRPr="00861A89" w14:paraId="7B1B301A" w14:textId="77777777" w:rsidTr="00793190">
        <w:tc>
          <w:tcPr>
            <w:tcW w:w="10800" w:type="dxa"/>
            <w:tcBorders>
              <w:bottom w:val="single" w:sz="4" w:space="0" w:color="auto"/>
            </w:tcBorders>
          </w:tcPr>
          <w:p w14:paraId="50C044C6" w14:textId="77777777" w:rsidR="000F301E" w:rsidRPr="00557958" w:rsidRDefault="00DA2EEF" w:rsidP="00793190">
            <w:pPr>
              <w:spacing w:before="120" w:after="0" w:line="240" w:lineRule="auto"/>
              <w:jc w:val="both"/>
              <w:rPr>
                <w:rFonts w:ascii="Arial Narrow" w:hAnsi="Arial Narrow"/>
                <w:sz w:val="24"/>
                <w:szCs w:val="24"/>
                <w:u w:val="single"/>
              </w:rPr>
            </w:pPr>
            <w:r w:rsidRPr="00557958">
              <w:rPr>
                <w:rFonts w:ascii="Arial Narrow" w:hAnsi="Arial Narrow"/>
                <w:sz w:val="24"/>
                <w:szCs w:val="24"/>
                <w:u w:val="single"/>
              </w:rPr>
              <w:fldChar w:fldCharType="begin">
                <w:ffData>
                  <w:name w:val="Text188"/>
                  <w:enabled/>
                  <w:calcOnExit w:val="0"/>
                  <w:textInput/>
                </w:ffData>
              </w:fldChar>
            </w:r>
            <w:r w:rsidR="000F301E" w:rsidRPr="00557958">
              <w:rPr>
                <w:rFonts w:ascii="Arial Narrow" w:hAnsi="Arial Narrow"/>
                <w:sz w:val="24"/>
                <w:szCs w:val="24"/>
                <w:u w:val="single"/>
              </w:rPr>
              <w:instrText xml:space="preserve"> FORMTEXT </w:instrText>
            </w:r>
            <w:r w:rsidRPr="00557958">
              <w:rPr>
                <w:rFonts w:ascii="Arial Narrow" w:hAnsi="Arial Narrow"/>
                <w:sz w:val="24"/>
                <w:szCs w:val="24"/>
                <w:u w:val="single"/>
              </w:rPr>
            </w:r>
            <w:r w:rsidRPr="00557958">
              <w:rPr>
                <w:rFonts w:ascii="Arial Narrow" w:hAnsi="Arial Narrow"/>
                <w:sz w:val="24"/>
                <w:szCs w:val="24"/>
                <w:u w:val="single"/>
              </w:rPr>
              <w:fldChar w:fldCharType="separate"/>
            </w:r>
            <w:r w:rsidR="000F301E" w:rsidRPr="00557958">
              <w:rPr>
                <w:rFonts w:ascii="Arial Narrow"/>
                <w:noProof/>
                <w:sz w:val="24"/>
                <w:szCs w:val="24"/>
                <w:u w:val="single"/>
              </w:rPr>
              <w:t> </w:t>
            </w:r>
            <w:r w:rsidR="000F301E" w:rsidRPr="00557958">
              <w:rPr>
                <w:rFonts w:ascii="Arial Narrow"/>
                <w:noProof/>
                <w:sz w:val="24"/>
                <w:szCs w:val="24"/>
                <w:u w:val="single"/>
              </w:rPr>
              <w:t> </w:t>
            </w:r>
            <w:r w:rsidR="000F301E" w:rsidRPr="00557958">
              <w:rPr>
                <w:rFonts w:ascii="Arial Narrow"/>
                <w:noProof/>
                <w:sz w:val="24"/>
                <w:szCs w:val="24"/>
                <w:u w:val="single"/>
              </w:rPr>
              <w:t> </w:t>
            </w:r>
            <w:r w:rsidR="000F301E" w:rsidRPr="00557958">
              <w:rPr>
                <w:rFonts w:ascii="Arial Narrow"/>
                <w:noProof/>
                <w:sz w:val="24"/>
                <w:szCs w:val="24"/>
                <w:u w:val="single"/>
              </w:rPr>
              <w:t> </w:t>
            </w:r>
            <w:r w:rsidR="000F301E" w:rsidRPr="00557958">
              <w:rPr>
                <w:rFonts w:ascii="Arial Narrow"/>
                <w:noProof/>
                <w:sz w:val="24"/>
                <w:szCs w:val="24"/>
                <w:u w:val="single"/>
              </w:rPr>
              <w:t> </w:t>
            </w:r>
            <w:r w:rsidRPr="00557958">
              <w:rPr>
                <w:rFonts w:ascii="Arial Narrow" w:hAnsi="Arial Narrow"/>
                <w:sz w:val="24"/>
                <w:szCs w:val="24"/>
                <w:u w:val="single"/>
              </w:rPr>
              <w:fldChar w:fldCharType="end"/>
            </w:r>
          </w:p>
        </w:tc>
      </w:tr>
    </w:tbl>
    <w:p w14:paraId="5D1153EC" w14:textId="77777777" w:rsidR="0099521B" w:rsidRDefault="0099521B" w:rsidP="008B3575">
      <w:pPr>
        <w:autoSpaceDE w:val="0"/>
        <w:autoSpaceDN w:val="0"/>
        <w:adjustRightInd w:val="0"/>
        <w:spacing w:after="0" w:line="240" w:lineRule="auto"/>
        <w:jc w:val="both"/>
        <w:rPr>
          <w:rFonts w:ascii="Arial Narrow" w:hAnsi="Arial Narrow"/>
          <w:b/>
          <w:sz w:val="24"/>
          <w:szCs w:val="24"/>
        </w:rPr>
      </w:pPr>
    </w:p>
    <w:p w14:paraId="7CCD75F3" w14:textId="77777777" w:rsidR="005867EB" w:rsidRDefault="005867EB" w:rsidP="005867EB">
      <w:pPr>
        <w:spacing w:before="120" w:after="0" w:line="240" w:lineRule="auto"/>
        <w:jc w:val="both"/>
        <w:rPr>
          <w:rFonts w:ascii="Arial Narrow" w:hAnsi="Arial Narrow"/>
          <w:sz w:val="24"/>
          <w:szCs w:val="24"/>
          <w:u w:val="single"/>
        </w:rPr>
      </w:pPr>
      <w:r w:rsidRPr="00861A89">
        <w:rPr>
          <w:rFonts w:ascii="Arial Narrow" w:hAnsi="Arial Narrow"/>
          <w:sz w:val="24"/>
          <w:szCs w:val="24"/>
        </w:rPr>
        <w:t xml:space="preserve">EIN/TIN (employer identification number) of Development Owner (not the GP) is required </w:t>
      </w:r>
      <w:r w:rsidRPr="00861A89">
        <w:rPr>
          <w:rFonts w:ascii="Arial Narrow" w:hAnsi="Arial Narrow"/>
          <w:sz w:val="24"/>
          <w:szCs w:val="24"/>
          <w:u w:val="single"/>
        </w:rPr>
        <w:t>now</w:t>
      </w:r>
      <w:r w:rsidRPr="00861A89">
        <w:rPr>
          <w:rFonts w:ascii="Arial Narrow" w:hAnsi="Arial Narrow"/>
          <w:sz w:val="24"/>
          <w:szCs w:val="24"/>
        </w:rPr>
        <w:t xml:space="preserve">: </w:t>
      </w:r>
      <w:r w:rsidRPr="00861A89">
        <w:rPr>
          <w:rFonts w:ascii="Arial Narrow" w:hAnsi="Arial Narrow"/>
          <w:sz w:val="24"/>
          <w:szCs w:val="24"/>
          <w:u w:val="single"/>
        </w:rPr>
        <w:fldChar w:fldCharType="begin">
          <w:ffData>
            <w:name w:val="Text188"/>
            <w:enabled/>
            <w:calcOnExit w:val="0"/>
            <w:textInput/>
          </w:ffData>
        </w:fldChar>
      </w:r>
      <w:r w:rsidRPr="00861A89">
        <w:rPr>
          <w:rFonts w:ascii="Arial Narrow" w:hAnsi="Arial Narrow"/>
          <w:sz w:val="24"/>
          <w:szCs w:val="24"/>
          <w:u w:val="single"/>
        </w:rPr>
        <w:instrText xml:space="preserve"> FORMTEXT </w:instrText>
      </w:r>
      <w:r w:rsidRPr="00861A89">
        <w:rPr>
          <w:rFonts w:ascii="Arial Narrow" w:hAnsi="Arial Narrow"/>
          <w:sz w:val="24"/>
          <w:szCs w:val="24"/>
          <w:u w:val="single"/>
        </w:rPr>
      </w:r>
      <w:r w:rsidRPr="00861A89">
        <w:rPr>
          <w:rFonts w:ascii="Arial Narrow" w:hAnsi="Arial Narrow"/>
          <w:sz w:val="24"/>
          <w:szCs w:val="24"/>
          <w:u w:val="single"/>
        </w:rPr>
        <w:fldChar w:fldCharType="separate"/>
      </w:r>
      <w:r>
        <w:rPr>
          <w:rFonts w:ascii="Arial Narrow" w:hAnsi="Arial Narrow"/>
          <w:sz w:val="24"/>
          <w:szCs w:val="24"/>
          <w:u w:val="single"/>
        </w:rPr>
        <w:t> </w:t>
      </w:r>
      <w:r>
        <w:rPr>
          <w:rFonts w:ascii="Arial Narrow" w:hAnsi="Arial Narrow"/>
          <w:sz w:val="24"/>
          <w:szCs w:val="24"/>
          <w:u w:val="single"/>
        </w:rPr>
        <w:t> </w:t>
      </w:r>
      <w:r>
        <w:rPr>
          <w:rFonts w:ascii="Arial Narrow" w:hAnsi="Arial Narrow"/>
          <w:sz w:val="24"/>
          <w:szCs w:val="24"/>
          <w:u w:val="single"/>
        </w:rPr>
        <w:t> </w:t>
      </w:r>
      <w:r>
        <w:rPr>
          <w:rFonts w:ascii="Arial Narrow" w:hAnsi="Arial Narrow"/>
          <w:sz w:val="24"/>
          <w:szCs w:val="24"/>
          <w:u w:val="single"/>
        </w:rPr>
        <w:t> </w:t>
      </w:r>
      <w:r>
        <w:rPr>
          <w:rFonts w:ascii="Arial Narrow" w:hAnsi="Arial Narrow"/>
          <w:sz w:val="24"/>
          <w:szCs w:val="24"/>
          <w:u w:val="single"/>
        </w:rPr>
        <w:t> </w:t>
      </w:r>
      <w:r w:rsidRPr="00861A89">
        <w:rPr>
          <w:rFonts w:ascii="Arial Narrow" w:hAnsi="Arial Narrow"/>
          <w:sz w:val="24"/>
          <w:szCs w:val="24"/>
          <w:u w:val="single"/>
        </w:rPr>
        <w:fldChar w:fldCharType="end"/>
      </w:r>
    </w:p>
    <w:p w14:paraId="7132D6B9" w14:textId="77777777" w:rsidR="005867EB" w:rsidRPr="00861A89" w:rsidRDefault="005867EB" w:rsidP="005867EB">
      <w:pPr>
        <w:spacing w:after="0" w:line="240" w:lineRule="auto"/>
        <w:jc w:val="both"/>
        <w:rPr>
          <w:rFonts w:ascii="Arial Narrow" w:hAnsi="Arial Narrow"/>
          <w:sz w:val="24"/>
          <w:szCs w:val="24"/>
        </w:rPr>
      </w:pPr>
    </w:p>
    <w:p w14:paraId="46646354" w14:textId="77777777" w:rsidR="005867EB" w:rsidRPr="00861A89" w:rsidRDefault="005867EB" w:rsidP="005867EB">
      <w:pPr>
        <w:spacing w:after="0" w:line="240" w:lineRule="auto"/>
        <w:jc w:val="both"/>
        <w:rPr>
          <w:rFonts w:ascii="Arial Narrow" w:hAnsi="Arial Narrow"/>
          <w:sz w:val="24"/>
          <w:szCs w:val="24"/>
        </w:rPr>
      </w:pPr>
      <w:r w:rsidRPr="00861A89">
        <w:rPr>
          <w:rFonts w:ascii="Arial Narrow" w:hAnsi="Arial Narrow"/>
          <w:sz w:val="24"/>
          <w:szCs w:val="24"/>
        </w:rPr>
        <w:t xml:space="preserve">State the </w:t>
      </w:r>
      <w:r w:rsidRPr="00861A89">
        <w:rPr>
          <w:rFonts w:ascii="Arial Narrow" w:hAnsi="Arial Narrow"/>
          <w:sz w:val="24"/>
          <w:szCs w:val="24"/>
          <w:u w:val="single"/>
        </w:rPr>
        <w:t>Development Owner’s</w:t>
      </w:r>
      <w:r w:rsidRPr="00861A89">
        <w:rPr>
          <w:rFonts w:ascii="Arial Narrow" w:hAnsi="Arial Narrow"/>
          <w:sz w:val="24"/>
          <w:szCs w:val="24"/>
        </w:rPr>
        <w:t xml:space="preserve"> full address below. PO boxes are not acceptable addresses.</w:t>
      </w:r>
    </w:p>
    <w:tbl>
      <w:tblPr>
        <w:tblW w:w="10170" w:type="dxa"/>
        <w:tblBorders>
          <w:bottom w:val="single" w:sz="4" w:space="0" w:color="auto"/>
        </w:tblBorders>
        <w:tblLook w:val="04A0" w:firstRow="1" w:lastRow="0" w:firstColumn="1" w:lastColumn="0" w:noHBand="0" w:noVBand="1"/>
      </w:tblPr>
      <w:tblGrid>
        <w:gridCol w:w="10170"/>
      </w:tblGrid>
      <w:tr w:rsidR="005867EB" w:rsidRPr="00861A89" w14:paraId="7981D87C" w14:textId="77777777" w:rsidTr="00B60D7F">
        <w:tc>
          <w:tcPr>
            <w:tcW w:w="10170" w:type="dxa"/>
            <w:tcBorders>
              <w:bottom w:val="single" w:sz="4" w:space="0" w:color="auto"/>
            </w:tcBorders>
          </w:tcPr>
          <w:p w14:paraId="14436B8E" w14:textId="77777777" w:rsidR="005867EB" w:rsidRPr="00861A89" w:rsidRDefault="005867EB" w:rsidP="00947C31">
            <w:pPr>
              <w:spacing w:after="0" w:line="240" w:lineRule="auto"/>
              <w:ind w:left="-105"/>
              <w:jc w:val="both"/>
              <w:rPr>
                <w:rFonts w:ascii="Arial Narrow" w:hAnsi="Arial Narrow"/>
                <w:sz w:val="24"/>
                <w:szCs w:val="24"/>
              </w:rPr>
            </w:pPr>
            <w:r w:rsidRPr="00861A89">
              <w:rPr>
                <w:rFonts w:ascii="Arial Narrow" w:hAnsi="Arial Narrow"/>
                <w:sz w:val="24"/>
                <w:szCs w:val="24"/>
              </w:rPr>
              <w:t xml:space="preserve">Street </w:t>
            </w:r>
            <w:r w:rsidR="00B60D7F">
              <w:rPr>
                <w:rFonts w:ascii="Arial Narrow" w:hAnsi="Arial Narrow"/>
                <w:sz w:val="24"/>
                <w:szCs w:val="24"/>
              </w:rPr>
              <w:t># &amp;</w:t>
            </w:r>
            <w:r w:rsidRPr="00861A89">
              <w:rPr>
                <w:rFonts w:ascii="Arial Narrow" w:hAnsi="Arial Narrow"/>
                <w:sz w:val="24"/>
                <w:szCs w:val="24"/>
              </w:rPr>
              <w:t xml:space="preserve"> name</w:t>
            </w:r>
            <w:r w:rsidR="00B60D7F">
              <w:rPr>
                <w:rFonts w:ascii="Arial Narrow" w:hAnsi="Arial Narrow"/>
                <w:sz w:val="24"/>
                <w:szCs w:val="24"/>
              </w:rPr>
              <w:t xml:space="preserve"> incl. St, Ave</w:t>
            </w:r>
            <w:r w:rsidR="00C3101E">
              <w:rPr>
                <w:rFonts w:ascii="Arial Narrow" w:hAnsi="Arial Narrow"/>
                <w:sz w:val="24"/>
                <w:szCs w:val="24"/>
              </w:rPr>
              <w:t>, etc.</w:t>
            </w:r>
            <w:r>
              <w:rPr>
                <w:rFonts w:ascii="Arial Narrow" w:hAnsi="Arial Narrow"/>
                <w:sz w:val="24"/>
                <w:szCs w:val="24"/>
              </w:rPr>
              <w:t>, suite</w:t>
            </w:r>
            <w:r w:rsidR="00B60D7F">
              <w:rPr>
                <w:rFonts w:ascii="Arial Narrow" w:hAnsi="Arial Narrow"/>
                <w:sz w:val="24"/>
                <w:szCs w:val="24"/>
              </w:rPr>
              <w:t xml:space="preserve"> #</w:t>
            </w:r>
            <w:r w:rsidRPr="00861A89">
              <w:rPr>
                <w:rFonts w:ascii="Arial Narrow" w:hAnsi="Arial Narrow"/>
                <w:sz w:val="24"/>
                <w:szCs w:val="24"/>
              </w:rPr>
              <w:t xml:space="preserve">:  </w:t>
            </w:r>
            <w:r w:rsidRPr="00861A89">
              <w:rPr>
                <w:rFonts w:ascii="Arial Narrow" w:hAnsi="Arial Narrow"/>
                <w:sz w:val="24"/>
                <w:szCs w:val="24"/>
              </w:rPr>
              <w:fldChar w:fldCharType="begin">
                <w:ffData>
                  <w:name w:val="Text188"/>
                  <w:enabled/>
                  <w:calcOnExit w:val="0"/>
                  <w:textInput/>
                </w:ffData>
              </w:fldChar>
            </w:r>
            <w:r w:rsidRPr="00861A89">
              <w:rPr>
                <w:rFonts w:ascii="Arial Narrow" w:hAnsi="Arial Narrow"/>
                <w:sz w:val="24"/>
                <w:szCs w:val="24"/>
              </w:rPr>
              <w:instrText xml:space="preserve"> FORMTEXT </w:instrText>
            </w:r>
            <w:r w:rsidRPr="00861A89">
              <w:rPr>
                <w:rFonts w:ascii="Arial Narrow" w:hAnsi="Arial Narrow"/>
                <w:sz w:val="24"/>
                <w:szCs w:val="24"/>
              </w:rPr>
            </w:r>
            <w:r w:rsidRPr="00861A89">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861A89">
              <w:rPr>
                <w:rFonts w:ascii="Arial Narrow" w:hAnsi="Arial Narrow"/>
                <w:sz w:val="24"/>
                <w:szCs w:val="24"/>
              </w:rPr>
              <w:fldChar w:fldCharType="end"/>
            </w:r>
          </w:p>
        </w:tc>
      </w:tr>
      <w:tr w:rsidR="005867EB" w:rsidRPr="00861A89" w14:paraId="10EFE3CF" w14:textId="77777777" w:rsidTr="00B60D7F">
        <w:tc>
          <w:tcPr>
            <w:tcW w:w="10170" w:type="dxa"/>
            <w:tcBorders>
              <w:bottom w:val="single" w:sz="4" w:space="0" w:color="auto"/>
            </w:tcBorders>
          </w:tcPr>
          <w:p w14:paraId="055B0C34" w14:textId="77777777" w:rsidR="005867EB" w:rsidRPr="00861A89" w:rsidRDefault="005867EB" w:rsidP="00B60D7F">
            <w:pPr>
              <w:spacing w:after="0" w:line="240" w:lineRule="auto"/>
              <w:ind w:left="-105"/>
              <w:jc w:val="both"/>
              <w:rPr>
                <w:rFonts w:ascii="Arial Narrow" w:hAnsi="Arial Narrow"/>
                <w:sz w:val="24"/>
                <w:szCs w:val="24"/>
              </w:rPr>
            </w:pPr>
            <w:r w:rsidRPr="00861A89">
              <w:rPr>
                <w:rFonts w:ascii="Arial Narrow" w:hAnsi="Arial Narrow"/>
                <w:sz w:val="24"/>
                <w:szCs w:val="24"/>
              </w:rPr>
              <w:t xml:space="preserve">City, state </w:t>
            </w:r>
            <w:r>
              <w:rPr>
                <w:rFonts w:ascii="Arial Narrow" w:hAnsi="Arial Narrow"/>
                <w:sz w:val="24"/>
                <w:szCs w:val="24"/>
              </w:rPr>
              <w:t xml:space="preserve">abbreviation, </w:t>
            </w:r>
            <w:r w:rsidRPr="00861A89">
              <w:rPr>
                <w:rFonts w:ascii="Arial Narrow" w:hAnsi="Arial Narrow"/>
                <w:sz w:val="24"/>
                <w:szCs w:val="24"/>
              </w:rPr>
              <w:t xml:space="preserve">and zip code:  </w:t>
            </w:r>
            <w:r w:rsidRPr="00861A89">
              <w:rPr>
                <w:rFonts w:ascii="Arial Narrow" w:hAnsi="Arial Narrow"/>
                <w:sz w:val="24"/>
                <w:szCs w:val="24"/>
              </w:rPr>
              <w:fldChar w:fldCharType="begin">
                <w:ffData>
                  <w:name w:val="Text188"/>
                  <w:enabled/>
                  <w:calcOnExit w:val="0"/>
                  <w:textInput/>
                </w:ffData>
              </w:fldChar>
            </w:r>
            <w:r w:rsidRPr="00861A89">
              <w:rPr>
                <w:rFonts w:ascii="Arial Narrow" w:hAnsi="Arial Narrow"/>
                <w:sz w:val="24"/>
                <w:szCs w:val="24"/>
              </w:rPr>
              <w:instrText xml:space="preserve"> FORMTEXT </w:instrText>
            </w:r>
            <w:r w:rsidRPr="00861A89">
              <w:rPr>
                <w:rFonts w:ascii="Arial Narrow" w:hAnsi="Arial Narrow"/>
                <w:sz w:val="24"/>
                <w:szCs w:val="24"/>
              </w:rPr>
            </w:r>
            <w:r w:rsidRPr="00861A89">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861A89">
              <w:rPr>
                <w:rFonts w:ascii="Arial Narrow" w:hAnsi="Arial Narrow"/>
                <w:sz w:val="24"/>
                <w:szCs w:val="24"/>
              </w:rPr>
              <w:fldChar w:fldCharType="end"/>
            </w:r>
          </w:p>
        </w:tc>
      </w:tr>
    </w:tbl>
    <w:p w14:paraId="5E034986" w14:textId="1856290A" w:rsidR="005867EB" w:rsidRPr="00861A89" w:rsidRDefault="005867EB" w:rsidP="00B56367">
      <w:pPr>
        <w:tabs>
          <w:tab w:val="left" w:pos="3960"/>
          <w:tab w:val="left" w:pos="8010"/>
        </w:tabs>
        <w:autoSpaceDE w:val="0"/>
        <w:autoSpaceDN w:val="0"/>
        <w:adjustRightInd w:val="0"/>
        <w:spacing w:before="120" w:after="0" w:line="240" w:lineRule="auto"/>
        <w:ind w:left="1530" w:hanging="1530"/>
        <w:rPr>
          <w:rFonts w:ascii="Arial Narrow" w:hAnsi="Arial Narrow"/>
          <w:sz w:val="24"/>
          <w:szCs w:val="24"/>
        </w:rPr>
      </w:pPr>
      <w:r w:rsidRPr="00861A89">
        <w:rPr>
          <w:rFonts w:ascii="Arial Narrow" w:hAnsi="Arial Narrow"/>
          <w:sz w:val="24"/>
          <w:szCs w:val="24"/>
        </w:rPr>
        <w:t>Owner</w:t>
      </w:r>
      <w:r>
        <w:rPr>
          <w:rFonts w:ascii="Arial Narrow" w:hAnsi="Arial Narrow"/>
          <w:sz w:val="24"/>
          <w:szCs w:val="24"/>
        </w:rPr>
        <w:t xml:space="preserve"> (person)</w:t>
      </w:r>
      <w:r w:rsidRPr="00861A89">
        <w:rPr>
          <w:rFonts w:ascii="Arial Narrow" w:hAnsi="Arial Narrow"/>
          <w:sz w:val="24"/>
          <w:szCs w:val="24"/>
        </w:rPr>
        <w:t>:</w:t>
      </w:r>
      <w:r w:rsidRPr="00861A89">
        <w:rPr>
          <w:rFonts w:ascii="Arial Narrow" w:hAnsi="Arial Narrow"/>
          <w:sz w:val="24"/>
          <w:szCs w:val="24"/>
        </w:rPr>
        <w:tab/>
      </w:r>
      <w:r w:rsidR="00B56367" w:rsidRPr="006D6C2D">
        <w:rPr>
          <w:rFonts w:ascii="Arial Narrow" w:hAnsi="Arial Narrow"/>
          <w:sz w:val="20"/>
          <w:szCs w:val="20"/>
        </w:rPr>
        <w:fldChar w:fldCharType="begin">
          <w:ffData>
            <w:name w:val="Text188"/>
            <w:enabled/>
            <w:calcOnExit w:val="0"/>
            <w:textInput/>
          </w:ffData>
        </w:fldChar>
      </w:r>
      <w:r w:rsidR="00B56367" w:rsidRPr="006D6C2D">
        <w:rPr>
          <w:rFonts w:ascii="Arial Narrow" w:hAnsi="Arial Narrow"/>
          <w:sz w:val="20"/>
          <w:szCs w:val="20"/>
        </w:rPr>
        <w:instrText xml:space="preserve"> FORMTEXT </w:instrText>
      </w:r>
      <w:r w:rsidR="00B56367" w:rsidRPr="006D6C2D">
        <w:rPr>
          <w:rFonts w:ascii="Arial Narrow" w:hAnsi="Arial Narrow"/>
          <w:sz w:val="20"/>
          <w:szCs w:val="20"/>
        </w:rPr>
      </w:r>
      <w:r w:rsidR="00B56367" w:rsidRPr="006D6C2D">
        <w:rPr>
          <w:rFonts w:ascii="Arial Narrow" w:hAnsi="Arial Narrow"/>
          <w:sz w:val="20"/>
          <w:szCs w:val="20"/>
        </w:rPr>
        <w:fldChar w:fldCharType="separate"/>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fldChar w:fldCharType="end"/>
      </w:r>
      <w:r w:rsidRPr="00861A89">
        <w:rPr>
          <w:rFonts w:ascii="Arial Narrow" w:hAnsi="Arial Narrow"/>
          <w:sz w:val="24"/>
          <w:szCs w:val="24"/>
        </w:rPr>
        <w:tab/>
        <w:t>Email:</w:t>
      </w:r>
      <w:r>
        <w:rPr>
          <w:rFonts w:ascii="Arial Narrow" w:hAnsi="Arial Narrow"/>
          <w:sz w:val="24"/>
          <w:szCs w:val="24"/>
        </w:rPr>
        <w:t xml:space="preserve"> </w:t>
      </w:r>
      <w:r w:rsidR="00B56367" w:rsidRPr="006D6C2D">
        <w:rPr>
          <w:rFonts w:ascii="Arial Narrow" w:hAnsi="Arial Narrow"/>
          <w:sz w:val="20"/>
          <w:szCs w:val="20"/>
        </w:rPr>
        <w:fldChar w:fldCharType="begin">
          <w:ffData>
            <w:name w:val="Text188"/>
            <w:enabled/>
            <w:calcOnExit w:val="0"/>
            <w:textInput/>
          </w:ffData>
        </w:fldChar>
      </w:r>
      <w:r w:rsidR="00B56367" w:rsidRPr="006D6C2D">
        <w:rPr>
          <w:rFonts w:ascii="Arial Narrow" w:hAnsi="Arial Narrow"/>
          <w:sz w:val="20"/>
          <w:szCs w:val="20"/>
        </w:rPr>
        <w:instrText xml:space="preserve"> FORMTEXT </w:instrText>
      </w:r>
      <w:r w:rsidR="00B56367" w:rsidRPr="006D6C2D">
        <w:rPr>
          <w:rFonts w:ascii="Arial Narrow" w:hAnsi="Arial Narrow"/>
          <w:sz w:val="20"/>
          <w:szCs w:val="20"/>
        </w:rPr>
      </w:r>
      <w:r w:rsidR="00B56367" w:rsidRPr="006D6C2D">
        <w:rPr>
          <w:rFonts w:ascii="Arial Narrow" w:hAnsi="Arial Narrow"/>
          <w:sz w:val="20"/>
          <w:szCs w:val="20"/>
        </w:rPr>
        <w:fldChar w:fldCharType="separate"/>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fldChar w:fldCharType="end"/>
      </w:r>
      <w:r w:rsidRPr="00861A89">
        <w:rPr>
          <w:rFonts w:ascii="Arial Narrow" w:hAnsi="Arial Narrow"/>
          <w:sz w:val="24"/>
          <w:szCs w:val="24"/>
        </w:rPr>
        <w:tab/>
      </w:r>
      <w:r w:rsidR="0025732A" w:rsidRPr="00861A89">
        <w:rPr>
          <w:rFonts w:ascii="Arial Narrow" w:hAnsi="Arial Narrow"/>
          <w:sz w:val="24"/>
          <w:szCs w:val="24"/>
        </w:rPr>
        <w:t>Phn/Ext:</w:t>
      </w:r>
      <w:r w:rsidR="0025732A">
        <w:rPr>
          <w:rFonts w:ascii="Arial Narrow" w:hAnsi="Arial Narrow"/>
          <w:sz w:val="24"/>
          <w:szCs w:val="24"/>
        </w:rPr>
        <w:t xml:space="preserve"> </w:t>
      </w:r>
      <w:r w:rsidR="00FE2E15" w:rsidRPr="00B56367">
        <w:rPr>
          <w:rFonts w:ascii="Arial Narrow" w:hAnsi="Arial Narrow"/>
          <w:sz w:val="20"/>
          <w:szCs w:val="20"/>
        </w:rPr>
        <w:fldChar w:fldCharType="begin">
          <w:ffData>
            <w:name w:val="Text188"/>
            <w:enabled/>
            <w:calcOnExit w:val="0"/>
            <w:textInput/>
          </w:ffData>
        </w:fldChar>
      </w:r>
      <w:r w:rsidR="00FE2E15" w:rsidRPr="00B56367">
        <w:rPr>
          <w:rFonts w:ascii="Arial Narrow" w:hAnsi="Arial Narrow"/>
          <w:sz w:val="20"/>
          <w:szCs w:val="20"/>
        </w:rPr>
        <w:instrText xml:space="preserve"> FORMTEXT </w:instrText>
      </w:r>
      <w:r w:rsidR="00FE2E15" w:rsidRPr="00B56367">
        <w:rPr>
          <w:rFonts w:ascii="Arial Narrow" w:hAnsi="Arial Narrow"/>
          <w:sz w:val="20"/>
          <w:szCs w:val="20"/>
        </w:rPr>
      </w:r>
      <w:r w:rsidR="00FE2E15" w:rsidRPr="00B56367">
        <w:rPr>
          <w:rFonts w:ascii="Arial Narrow" w:hAnsi="Arial Narrow"/>
          <w:sz w:val="20"/>
          <w:szCs w:val="20"/>
        </w:rPr>
        <w:fldChar w:fldCharType="separate"/>
      </w:r>
      <w:r w:rsidR="00FE2E15" w:rsidRPr="00B56367">
        <w:rPr>
          <w:rFonts w:ascii="Arial Narrow" w:hAnsi="Arial Narrow"/>
          <w:sz w:val="20"/>
          <w:szCs w:val="20"/>
        </w:rPr>
        <w:t> </w:t>
      </w:r>
      <w:r w:rsidR="00FE2E15" w:rsidRPr="00B56367">
        <w:rPr>
          <w:rFonts w:ascii="Arial Narrow" w:hAnsi="Arial Narrow"/>
          <w:sz w:val="20"/>
          <w:szCs w:val="20"/>
        </w:rPr>
        <w:t> </w:t>
      </w:r>
      <w:r w:rsidR="00FE2E15" w:rsidRPr="00B56367">
        <w:rPr>
          <w:rFonts w:ascii="Arial Narrow" w:hAnsi="Arial Narrow"/>
          <w:sz w:val="20"/>
          <w:szCs w:val="20"/>
        </w:rPr>
        <w:t> </w:t>
      </w:r>
      <w:r w:rsidR="00FE2E15" w:rsidRPr="00B56367">
        <w:rPr>
          <w:rFonts w:ascii="Arial Narrow" w:hAnsi="Arial Narrow"/>
          <w:sz w:val="20"/>
          <w:szCs w:val="20"/>
        </w:rPr>
        <w:t> </w:t>
      </w:r>
      <w:r w:rsidR="00FE2E15" w:rsidRPr="00B56367">
        <w:rPr>
          <w:rFonts w:ascii="Arial Narrow" w:hAnsi="Arial Narrow"/>
          <w:sz w:val="20"/>
          <w:szCs w:val="20"/>
        </w:rPr>
        <w:t> </w:t>
      </w:r>
      <w:r w:rsidR="00FE2E15" w:rsidRPr="00B56367">
        <w:rPr>
          <w:rFonts w:ascii="Arial Narrow" w:hAnsi="Arial Narrow"/>
          <w:sz w:val="20"/>
          <w:szCs w:val="20"/>
        </w:rPr>
        <w:fldChar w:fldCharType="end"/>
      </w:r>
    </w:p>
    <w:p w14:paraId="3F2884E7" w14:textId="77777777" w:rsidR="005867EB" w:rsidRPr="00861A89" w:rsidRDefault="005867EB" w:rsidP="00B56367">
      <w:pPr>
        <w:tabs>
          <w:tab w:val="left" w:pos="3960"/>
          <w:tab w:val="left" w:pos="8010"/>
        </w:tabs>
        <w:autoSpaceDE w:val="0"/>
        <w:autoSpaceDN w:val="0"/>
        <w:adjustRightInd w:val="0"/>
        <w:spacing w:before="120" w:after="0" w:line="240" w:lineRule="auto"/>
        <w:ind w:left="1530" w:hanging="1530"/>
        <w:rPr>
          <w:rFonts w:ascii="Arial Narrow" w:hAnsi="Arial Narrow"/>
          <w:sz w:val="24"/>
          <w:szCs w:val="24"/>
        </w:rPr>
      </w:pPr>
      <w:r w:rsidRPr="00861A89">
        <w:rPr>
          <w:rFonts w:ascii="Arial Narrow" w:hAnsi="Arial Narrow"/>
          <w:sz w:val="24"/>
          <w:szCs w:val="24"/>
        </w:rPr>
        <w:t>Contact</w:t>
      </w:r>
      <w:r w:rsidR="00FC12DD">
        <w:rPr>
          <w:rFonts w:ascii="Arial Narrow" w:hAnsi="Arial Narrow"/>
          <w:sz w:val="24"/>
          <w:szCs w:val="24"/>
        </w:rPr>
        <w:t xml:space="preserve"> #1</w:t>
      </w:r>
      <w:r w:rsidRPr="00861A89">
        <w:rPr>
          <w:rFonts w:ascii="Arial Narrow" w:hAnsi="Arial Narrow"/>
          <w:sz w:val="24"/>
          <w:szCs w:val="24"/>
        </w:rPr>
        <w:t>:</w:t>
      </w:r>
      <w:r w:rsidRPr="00861A89">
        <w:rPr>
          <w:rFonts w:ascii="Arial Narrow" w:hAnsi="Arial Narrow"/>
          <w:sz w:val="24"/>
          <w:szCs w:val="24"/>
        </w:rPr>
        <w:tab/>
      </w:r>
      <w:r w:rsidRPr="006D6C2D">
        <w:rPr>
          <w:rFonts w:ascii="Arial Narrow" w:hAnsi="Arial Narrow"/>
          <w:sz w:val="20"/>
          <w:szCs w:val="20"/>
        </w:rPr>
        <w:fldChar w:fldCharType="begin">
          <w:ffData>
            <w:name w:val="Text188"/>
            <w:enabled/>
            <w:calcOnExit w:val="0"/>
            <w:textInput/>
          </w:ffData>
        </w:fldChar>
      </w:r>
      <w:r w:rsidRPr="006D6C2D">
        <w:rPr>
          <w:rFonts w:ascii="Arial Narrow" w:hAnsi="Arial Narrow"/>
          <w:sz w:val="20"/>
          <w:szCs w:val="20"/>
        </w:rPr>
        <w:instrText xml:space="preserve"> FORMTEXT </w:instrText>
      </w:r>
      <w:r w:rsidRPr="006D6C2D">
        <w:rPr>
          <w:rFonts w:ascii="Arial Narrow" w:hAnsi="Arial Narrow"/>
          <w:sz w:val="20"/>
          <w:szCs w:val="20"/>
        </w:rPr>
      </w:r>
      <w:r w:rsidRPr="006D6C2D">
        <w:rPr>
          <w:rFonts w:ascii="Arial Narrow" w:hAnsi="Arial Narrow"/>
          <w:sz w:val="20"/>
          <w:szCs w:val="20"/>
        </w:rPr>
        <w:fldChar w:fldCharType="separate"/>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fldChar w:fldCharType="end"/>
      </w:r>
      <w:r w:rsidRPr="00861A89">
        <w:rPr>
          <w:rFonts w:ascii="Arial Narrow" w:hAnsi="Arial Narrow"/>
          <w:sz w:val="24"/>
          <w:szCs w:val="24"/>
        </w:rPr>
        <w:tab/>
        <w:t>Email:</w:t>
      </w:r>
      <w:r w:rsidRPr="0085484A">
        <w:rPr>
          <w:rFonts w:ascii="Arial Narrow" w:hAnsi="Arial Narrow"/>
          <w:sz w:val="24"/>
          <w:szCs w:val="24"/>
        </w:rPr>
        <w:t xml:space="preserve"> </w:t>
      </w:r>
      <w:r w:rsidRPr="006D6C2D">
        <w:rPr>
          <w:rFonts w:ascii="Arial Narrow" w:hAnsi="Arial Narrow"/>
          <w:sz w:val="20"/>
          <w:szCs w:val="20"/>
        </w:rPr>
        <w:fldChar w:fldCharType="begin">
          <w:ffData>
            <w:name w:val="Text188"/>
            <w:enabled/>
            <w:calcOnExit w:val="0"/>
            <w:textInput/>
          </w:ffData>
        </w:fldChar>
      </w:r>
      <w:r w:rsidRPr="006D6C2D">
        <w:rPr>
          <w:rFonts w:ascii="Arial Narrow" w:hAnsi="Arial Narrow"/>
          <w:sz w:val="20"/>
          <w:szCs w:val="20"/>
        </w:rPr>
        <w:instrText xml:space="preserve"> FORMTEXT </w:instrText>
      </w:r>
      <w:r w:rsidRPr="006D6C2D">
        <w:rPr>
          <w:rFonts w:ascii="Arial Narrow" w:hAnsi="Arial Narrow"/>
          <w:sz w:val="20"/>
          <w:szCs w:val="20"/>
        </w:rPr>
      </w:r>
      <w:r w:rsidRPr="006D6C2D">
        <w:rPr>
          <w:rFonts w:ascii="Arial Narrow" w:hAnsi="Arial Narrow"/>
          <w:sz w:val="20"/>
          <w:szCs w:val="20"/>
        </w:rPr>
        <w:fldChar w:fldCharType="separate"/>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fldChar w:fldCharType="end"/>
      </w:r>
      <w:r w:rsidRPr="00861A89">
        <w:rPr>
          <w:rFonts w:ascii="Arial Narrow" w:hAnsi="Arial Narrow"/>
          <w:sz w:val="24"/>
          <w:szCs w:val="24"/>
        </w:rPr>
        <w:tab/>
        <w:t>Phn/Ext:</w:t>
      </w:r>
      <w:r>
        <w:rPr>
          <w:rFonts w:ascii="Arial Narrow" w:hAnsi="Arial Narrow"/>
          <w:sz w:val="24"/>
          <w:szCs w:val="24"/>
        </w:rPr>
        <w:t xml:space="preserve"> </w:t>
      </w:r>
      <w:r w:rsidRPr="00B56367">
        <w:rPr>
          <w:rFonts w:ascii="Arial Narrow" w:hAnsi="Arial Narrow"/>
          <w:sz w:val="20"/>
          <w:szCs w:val="20"/>
        </w:rPr>
        <w:fldChar w:fldCharType="begin">
          <w:ffData>
            <w:name w:val="Text188"/>
            <w:enabled/>
            <w:calcOnExit w:val="0"/>
            <w:textInput/>
          </w:ffData>
        </w:fldChar>
      </w:r>
      <w:r w:rsidRPr="00B56367">
        <w:rPr>
          <w:rFonts w:ascii="Arial Narrow" w:hAnsi="Arial Narrow"/>
          <w:sz w:val="20"/>
          <w:szCs w:val="20"/>
        </w:rPr>
        <w:instrText xml:space="preserve"> FORMTEXT </w:instrText>
      </w:r>
      <w:r w:rsidRPr="00B56367">
        <w:rPr>
          <w:rFonts w:ascii="Arial Narrow" w:hAnsi="Arial Narrow"/>
          <w:sz w:val="20"/>
          <w:szCs w:val="20"/>
        </w:rPr>
      </w:r>
      <w:r w:rsidRPr="00B56367">
        <w:rPr>
          <w:rFonts w:ascii="Arial Narrow" w:hAnsi="Arial Narrow"/>
          <w:sz w:val="20"/>
          <w:szCs w:val="20"/>
        </w:rPr>
        <w:fldChar w:fldCharType="separate"/>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fldChar w:fldCharType="end"/>
      </w:r>
    </w:p>
    <w:p w14:paraId="107F68FD" w14:textId="77777777" w:rsidR="005867EB" w:rsidRPr="00861A89" w:rsidRDefault="00FC12DD" w:rsidP="00B56367">
      <w:pPr>
        <w:tabs>
          <w:tab w:val="left" w:pos="3960"/>
          <w:tab w:val="left" w:pos="8010"/>
        </w:tabs>
        <w:autoSpaceDE w:val="0"/>
        <w:autoSpaceDN w:val="0"/>
        <w:adjustRightInd w:val="0"/>
        <w:spacing w:before="120" w:after="0" w:line="240" w:lineRule="auto"/>
        <w:ind w:left="1530" w:hanging="1530"/>
        <w:rPr>
          <w:rFonts w:ascii="Arial Narrow" w:hAnsi="Arial Narrow"/>
          <w:sz w:val="24"/>
          <w:szCs w:val="24"/>
        </w:rPr>
      </w:pPr>
      <w:r>
        <w:rPr>
          <w:rFonts w:ascii="Arial Narrow" w:hAnsi="Arial Narrow"/>
          <w:sz w:val="24"/>
          <w:szCs w:val="24"/>
        </w:rPr>
        <w:t>C</w:t>
      </w:r>
      <w:r w:rsidR="005867EB" w:rsidRPr="00861A89">
        <w:rPr>
          <w:rFonts w:ascii="Arial Narrow" w:hAnsi="Arial Narrow"/>
          <w:sz w:val="24"/>
          <w:szCs w:val="24"/>
        </w:rPr>
        <w:t>ontact</w:t>
      </w:r>
      <w:r>
        <w:rPr>
          <w:rFonts w:ascii="Arial Narrow" w:hAnsi="Arial Narrow"/>
          <w:sz w:val="24"/>
          <w:szCs w:val="24"/>
        </w:rPr>
        <w:t xml:space="preserve"> #2</w:t>
      </w:r>
      <w:r w:rsidR="005867EB" w:rsidRPr="00861A89">
        <w:rPr>
          <w:rFonts w:ascii="Arial Narrow" w:hAnsi="Arial Narrow"/>
          <w:sz w:val="24"/>
          <w:szCs w:val="24"/>
        </w:rPr>
        <w:t>:</w:t>
      </w:r>
      <w:r w:rsidR="005867EB" w:rsidRPr="00861A89">
        <w:rPr>
          <w:rFonts w:ascii="Arial Narrow" w:hAnsi="Arial Narrow"/>
          <w:sz w:val="24"/>
          <w:szCs w:val="24"/>
        </w:rPr>
        <w:tab/>
      </w:r>
      <w:r w:rsidR="005867EB" w:rsidRPr="006D6C2D">
        <w:rPr>
          <w:rFonts w:ascii="Arial Narrow" w:hAnsi="Arial Narrow"/>
          <w:sz w:val="20"/>
          <w:szCs w:val="20"/>
        </w:rPr>
        <w:fldChar w:fldCharType="begin">
          <w:ffData>
            <w:name w:val="Text188"/>
            <w:enabled/>
            <w:calcOnExit w:val="0"/>
            <w:textInput/>
          </w:ffData>
        </w:fldChar>
      </w:r>
      <w:r w:rsidR="005867EB" w:rsidRPr="006D6C2D">
        <w:rPr>
          <w:rFonts w:ascii="Arial Narrow" w:hAnsi="Arial Narrow"/>
          <w:sz w:val="20"/>
          <w:szCs w:val="20"/>
        </w:rPr>
        <w:instrText xml:space="preserve"> FORMTEXT </w:instrText>
      </w:r>
      <w:r w:rsidR="005867EB" w:rsidRPr="006D6C2D">
        <w:rPr>
          <w:rFonts w:ascii="Arial Narrow" w:hAnsi="Arial Narrow"/>
          <w:sz w:val="20"/>
          <w:szCs w:val="20"/>
        </w:rPr>
      </w:r>
      <w:r w:rsidR="005867EB" w:rsidRPr="006D6C2D">
        <w:rPr>
          <w:rFonts w:ascii="Arial Narrow" w:hAnsi="Arial Narrow"/>
          <w:sz w:val="20"/>
          <w:szCs w:val="20"/>
        </w:rPr>
        <w:fldChar w:fldCharType="separate"/>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fldChar w:fldCharType="end"/>
      </w:r>
      <w:r w:rsidR="005867EB" w:rsidRPr="00861A89">
        <w:rPr>
          <w:rFonts w:ascii="Arial Narrow" w:hAnsi="Arial Narrow"/>
          <w:sz w:val="24"/>
          <w:szCs w:val="24"/>
        </w:rPr>
        <w:tab/>
        <w:t>Email:</w:t>
      </w:r>
      <w:r w:rsidR="005867EB">
        <w:rPr>
          <w:rFonts w:ascii="Arial Narrow" w:hAnsi="Arial Narrow"/>
          <w:sz w:val="24"/>
          <w:szCs w:val="24"/>
        </w:rPr>
        <w:t xml:space="preserve"> </w:t>
      </w:r>
      <w:r w:rsidR="005867EB" w:rsidRPr="006D6C2D">
        <w:rPr>
          <w:rFonts w:ascii="Arial Narrow" w:hAnsi="Arial Narrow"/>
          <w:sz w:val="20"/>
          <w:szCs w:val="20"/>
        </w:rPr>
        <w:fldChar w:fldCharType="begin">
          <w:ffData>
            <w:name w:val="Text188"/>
            <w:enabled/>
            <w:calcOnExit w:val="0"/>
            <w:textInput/>
          </w:ffData>
        </w:fldChar>
      </w:r>
      <w:r w:rsidR="005867EB" w:rsidRPr="006D6C2D">
        <w:rPr>
          <w:rFonts w:ascii="Arial Narrow" w:hAnsi="Arial Narrow"/>
          <w:sz w:val="20"/>
          <w:szCs w:val="20"/>
        </w:rPr>
        <w:instrText xml:space="preserve"> FORMTEXT </w:instrText>
      </w:r>
      <w:r w:rsidR="005867EB" w:rsidRPr="006D6C2D">
        <w:rPr>
          <w:rFonts w:ascii="Arial Narrow" w:hAnsi="Arial Narrow"/>
          <w:sz w:val="20"/>
          <w:szCs w:val="20"/>
        </w:rPr>
      </w:r>
      <w:r w:rsidR="005867EB" w:rsidRPr="006D6C2D">
        <w:rPr>
          <w:rFonts w:ascii="Arial Narrow" w:hAnsi="Arial Narrow"/>
          <w:sz w:val="20"/>
          <w:szCs w:val="20"/>
        </w:rPr>
        <w:fldChar w:fldCharType="separate"/>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fldChar w:fldCharType="end"/>
      </w:r>
      <w:r w:rsidR="005867EB" w:rsidRPr="00861A89">
        <w:rPr>
          <w:rFonts w:ascii="Arial Narrow" w:hAnsi="Arial Narrow"/>
          <w:sz w:val="24"/>
          <w:szCs w:val="24"/>
        </w:rPr>
        <w:tab/>
        <w:t>Phn/Ext:</w:t>
      </w:r>
      <w:r w:rsidR="005867EB">
        <w:rPr>
          <w:rFonts w:ascii="Arial Narrow" w:hAnsi="Arial Narrow"/>
          <w:sz w:val="24"/>
          <w:szCs w:val="24"/>
        </w:rPr>
        <w:t xml:space="preserve"> </w:t>
      </w:r>
      <w:r w:rsidR="005867EB" w:rsidRPr="00B56367">
        <w:rPr>
          <w:rFonts w:ascii="Arial Narrow" w:hAnsi="Arial Narrow"/>
          <w:sz w:val="20"/>
          <w:szCs w:val="20"/>
        </w:rPr>
        <w:fldChar w:fldCharType="begin">
          <w:ffData>
            <w:name w:val="Text188"/>
            <w:enabled/>
            <w:calcOnExit w:val="0"/>
            <w:textInput/>
          </w:ffData>
        </w:fldChar>
      </w:r>
      <w:r w:rsidR="005867EB" w:rsidRPr="00B56367">
        <w:rPr>
          <w:rFonts w:ascii="Arial Narrow" w:hAnsi="Arial Narrow"/>
          <w:sz w:val="20"/>
          <w:szCs w:val="20"/>
        </w:rPr>
        <w:instrText xml:space="preserve"> FORMTEXT </w:instrText>
      </w:r>
      <w:r w:rsidR="005867EB" w:rsidRPr="00B56367">
        <w:rPr>
          <w:rFonts w:ascii="Arial Narrow" w:hAnsi="Arial Narrow"/>
          <w:sz w:val="20"/>
          <w:szCs w:val="20"/>
        </w:rPr>
      </w:r>
      <w:r w:rsidR="005867EB" w:rsidRPr="00B56367">
        <w:rPr>
          <w:rFonts w:ascii="Arial Narrow" w:hAnsi="Arial Narrow"/>
          <w:sz w:val="20"/>
          <w:szCs w:val="20"/>
        </w:rPr>
        <w:fldChar w:fldCharType="separate"/>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fldChar w:fldCharType="end"/>
      </w:r>
    </w:p>
    <w:p w14:paraId="02EB67F0" w14:textId="77777777" w:rsidR="005867EB" w:rsidRPr="00861A89" w:rsidRDefault="005867EB" w:rsidP="008B3575">
      <w:pPr>
        <w:autoSpaceDE w:val="0"/>
        <w:autoSpaceDN w:val="0"/>
        <w:adjustRightInd w:val="0"/>
        <w:spacing w:after="0" w:line="240" w:lineRule="auto"/>
        <w:jc w:val="both"/>
        <w:rPr>
          <w:rFonts w:ascii="Arial Narrow" w:hAnsi="Arial Narrow"/>
          <w:b/>
          <w:sz w:val="24"/>
          <w:szCs w:val="24"/>
        </w:rPr>
      </w:pPr>
    </w:p>
    <w:p w14:paraId="1BFF143E" w14:textId="77777777" w:rsidR="008B3575" w:rsidRDefault="00D65059" w:rsidP="008B3575">
      <w:pPr>
        <w:autoSpaceDE w:val="0"/>
        <w:autoSpaceDN w:val="0"/>
        <w:adjustRightInd w:val="0"/>
        <w:spacing w:after="0" w:line="240" w:lineRule="auto"/>
        <w:jc w:val="both"/>
        <w:rPr>
          <w:rFonts w:ascii="Arial Narrow" w:hAnsi="Arial Narrow"/>
          <w:sz w:val="24"/>
          <w:szCs w:val="24"/>
        </w:rPr>
      </w:pPr>
      <w:r w:rsidRPr="00861A89">
        <w:rPr>
          <w:rFonts w:ascii="Arial Narrow" w:hAnsi="Arial Narrow"/>
          <w:b/>
          <w:sz w:val="24"/>
          <w:szCs w:val="24"/>
        </w:rPr>
        <w:t xml:space="preserve">Do not submit requests for extensions, </w:t>
      </w:r>
      <w:proofErr w:type="gramStart"/>
      <w:r w:rsidRPr="00861A89">
        <w:rPr>
          <w:rFonts w:ascii="Arial Narrow" w:hAnsi="Arial Narrow"/>
          <w:b/>
          <w:sz w:val="24"/>
          <w:szCs w:val="24"/>
        </w:rPr>
        <w:t>amendments</w:t>
      </w:r>
      <w:proofErr w:type="gramEnd"/>
      <w:r w:rsidRPr="00861A89">
        <w:rPr>
          <w:rFonts w:ascii="Arial Narrow" w:hAnsi="Arial Narrow"/>
          <w:b/>
          <w:sz w:val="24"/>
          <w:szCs w:val="24"/>
        </w:rPr>
        <w:t xml:space="preserve"> or ownership changes in the carryover submission package. These r</w:t>
      </w:r>
      <w:r w:rsidR="008B3575" w:rsidRPr="00861A89">
        <w:rPr>
          <w:rFonts w:ascii="Arial Narrow" w:hAnsi="Arial Narrow"/>
          <w:b/>
          <w:sz w:val="24"/>
          <w:szCs w:val="24"/>
        </w:rPr>
        <w:t xml:space="preserve">equests must be submitted as separate </w:t>
      </w:r>
      <w:r w:rsidRPr="00861A89">
        <w:rPr>
          <w:rFonts w:ascii="Arial Narrow" w:hAnsi="Arial Narrow"/>
          <w:b/>
          <w:sz w:val="24"/>
          <w:szCs w:val="24"/>
        </w:rPr>
        <w:t>packages</w:t>
      </w:r>
      <w:r w:rsidR="005524D3" w:rsidRPr="00861A89">
        <w:rPr>
          <w:rFonts w:ascii="Arial Narrow" w:hAnsi="Arial Narrow"/>
          <w:b/>
          <w:sz w:val="24"/>
          <w:szCs w:val="24"/>
        </w:rPr>
        <w:t xml:space="preserve">. </w:t>
      </w:r>
      <w:r w:rsidR="00CD6FDB" w:rsidRPr="00861A89">
        <w:rPr>
          <w:rFonts w:ascii="Arial Narrow" w:hAnsi="Arial Narrow"/>
          <w:b/>
          <w:sz w:val="24"/>
          <w:szCs w:val="24"/>
        </w:rPr>
        <w:t xml:space="preserve">Submit </w:t>
      </w:r>
      <w:r w:rsidR="00280B39" w:rsidRPr="00861A89">
        <w:rPr>
          <w:rFonts w:ascii="Arial Narrow" w:hAnsi="Arial Narrow"/>
          <w:b/>
          <w:sz w:val="24"/>
          <w:szCs w:val="24"/>
        </w:rPr>
        <w:t>such</w:t>
      </w:r>
      <w:r w:rsidR="005524D3" w:rsidRPr="00861A89">
        <w:rPr>
          <w:rFonts w:ascii="Arial Narrow" w:hAnsi="Arial Narrow"/>
          <w:b/>
          <w:sz w:val="24"/>
          <w:szCs w:val="24"/>
        </w:rPr>
        <w:t xml:space="preserve"> request</w:t>
      </w:r>
      <w:r w:rsidR="00E85D8A" w:rsidRPr="00861A89">
        <w:rPr>
          <w:rFonts w:ascii="Arial Narrow" w:hAnsi="Arial Narrow"/>
          <w:b/>
          <w:sz w:val="24"/>
          <w:szCs w:val="24"/>
        </w:rPr>
        <w:t>s</w:t>
      </w:r>
      <w:r w:rsidR="005524D3" w:rsidRPr="00861A89">
        <w:rPr>
          <w:rFonts w:ascii="Arial Narrow" w:hAnsi="Arial Narrow"/>
          <w:b/>
          <w:sz w:val="24"/>
          <w:szCs w:val="24"/>
        </w:rPr>
        <w:t xml:space="preserve"> </w:t>
      </w:r>
      <w:r w:rsidR="008B3575" w:rsidRPr="00861A89">
        <w:rPr>
          <w:rFonts w:ascii="Arial Narrow" w:hAnsi="Arial Narrow"/>
          <w:b/>
          <w:sz w:val="24"/>
          <w:szCs w:val="24"/>
        </w:rPr>
        <w:t xml:space="preserve">after the commitment notice is processed </w:t>
      </w:r>
      <w:r w:rsidRPr="00861A89">
        <w:rPr>
          <w:rFonts w:ascii="Arial Narrow" w:hAnsi="Arial Narrow"/>
          <w:b/>
          <w:sz w:val="24"/>
          <w:szCs w:val="24"/>
        </w:rPr>
        <w:t xml:space="preserve">but </w:t>
      </w:r>
      <w:r w:rsidR="008B3575" w:rsidRPr="00861A89">
        <w:rPr>
          <w:rFonts w:ascii="Arial Narrow" w:hAnsi="Arial Narrow"/>
          <w:b/>
          <w:sz w:val="24"/>
          <w:szCs w:val="24"/>
        </w:rPr>
        <w:t xml:space="preserve">before </w:t>
      </w:r>
      <w:r w:rsidR="00CD6FDB" w:rsidRPr="00861A89">
        <w:rPr>
          <w:rFonts w:ascii="Arial Narrow" w:hAnsi="Arial Narrow"/>
          <w:b/>
          <w:sz w:val="24"/>
          <w:szCs w:val="24"/>
        </w:rPr>
        <w:t xml:space="preserve">submitting the </w:t>
      </w:r>
      <w:r w:rsidR="008B3575" w:rsidRPr="00861A89">
        <w:rPr>
          <w:rFonts w:ascii="Arial Narrow" w:hAnsi="Arial Narrow"/>
          <w:b/>
          <w:sz w:val="24"/>
          <w:szCs w:val="24"/>
        </w:rPr>
        <w:t>carryover package</w:t>
      </w:r>
      <w:r w:rsidR="008B3575" w:rsidRPr="00861A89">
        <w:rPr>
          <w:rFonts w:ascii="Arial Narrow" w:hAnsi="Arial Narrow"/>
          <w:sz w:val="24"/>
          <w:szCs w:val="24"/>
        </w:rPr>
        <w:t xml:space="preserve">. </w:t>
      </w:r>
      <w:r w:rsidR="008B3575" w:rsidRPr="00861A89">
        <w:rPr>
          <w:rFonts w:ascii="Arial Narrow" w:hAnsi="Arial Narrow" w:cs="Calibri"/>
          <w:sz w:val="24"/>
          <w:szCs w:val="24"/>
        </w:rPr>
        <w:t xml:space="preserve">Note that </w:t>
      </w:r>
      <w:r w:rsidR="005524D3" w:rsidRPr="00861A89">
        <w:rPr>
          <w:rFonts w:ascii="Arial Narrow" w:hAnsi="Arial Narrow" w:cs="Calibri"/>
          <w:sz w:val="24"/>
          <w:szCs w:val="24"/>
        </w:rPr>
        <w:t xml:space="preserve">changes in </w:t>
      </w:r>
      <w:r w:rsidR="008B3575" w:rsidRPr="00861A89">
        <w:rPr>
          <w:rFonts w:ascii="Arial Narrow" w:hAnsi="Arial Narrow" w:cs="Calibri"/>
          <w:sz w:val="24"/>
          <w:szCs w:val="24"/>
        </w:rPr>
        <w:t>financing</w:t>
      </w:r>
      <w:r w:rsidR="005524D3" w:rsidRPr="00861A89">
        <w:rPr>
          <w:rFonts w:ascii="Arial Narrow" w:hAnsi="Arial Narrow" w:cs="Calibri"/>
          <w:sz w:val="24"/>
          <w:szCs w:val="24"/>
        </w:rPr>
        <w:t>, development costs and expenses</w:t>
      </w:r>
      <w:r w:rsidR="008B3575" w:rsidRPr="00861A89">
        <w:rPr>
          <w:rFonts w:ascii="Arial Narrow" w:hAnsi="Arial Narrow" w:cs="Calibri"/>
          <w:sz w:val="24"/>
          <w:szCs w:val="24"/>
        </w:rPr>
        <w:t xml:space="preserve"> generally are not amendments unless there is an effect on scoring or threshold requirements. </w:t>
      </w:r>
      <w:r w:rsidR="005524D3" w:rsidRPr="00861A89">
        <w:rPr>
          <w:rFonts w:ascii="Arial Narrow" w:hAnsi="Arial Narrow" w:cs="Calibri"/>
          <w:sz w:val="24"/>
          <w:szCs w:val="24"/>
        </w:rPr>
        <w:t xml:space="preserve">Changes in the </w:t>
      </w:r>
      <w:r w:rsidR="006A0C64" w:rsidRPr="00861A89">
        <w:rPr>
          <w:rFonts w:ascii="Arial Narrow" w:hAnsi="Arial Narrow" w:cs="Calibri"/>
          <w:sz w:val="24"/>
          <w:szCs w:val="24"/>
        </w:rPr>
        <w:t>Developer</w:t>
      </w:r>
      <w:r w:rsidR="005524D3" w:rsidRPr="00861A89">
        <w:rPr>
          <w:rFonts w:ascii="Arial Narrow" w:hAnsi="Arial Narrow" w:cs="Calibri"/>
          <w:sz w:val="24"/>
          <w:szCs w:val="24"/>
        </w:rPr>
        <w:t xml:space="preserve"> </w:t>
      </w:r>
      <w:r w:rsidR="00BB5C1C">
        <w:rPr>
          <w:rFonts w:ascii="Arial Narrow" w:hAnsi="Arial Narrow" w:cs="Calibri"/>
          <w:sz w:val="24"/>
          <w:szCs w:val="24"/>
        </w:rPr>
        <w:t xml:space="preserve">or Guarantor </w:t>
      </w:r>
      <w:r w:rsidR="005524D3" w:rsidRPr="00861A89">
        <w:rPr>
          <w:rFonts w:ascii="Arial Narrow" w:hAnsi="Arial Narrow" w:cs="Calibri"/>
          <w:sz w:val="24"/>
          <w:szCs w:val="24"/>
        </w:rPr>
        <w:t xml:space="preserve">are amendments. </w:t>
      </w:r>
      <w:r w:rsidR="008B3575" w:rsidRPr="00861A89">
        <w:rPr>
          <w:rFonts w:ascii="Arial Narrow" w:hAnsi="Arial Narrow" w:cs="Calibri"/>
          <w:sz w:val="24"/>
          <w:szCs w:val="24"/>
        </w:rPr>
        <w:t xml:space="preserve">Changes </w:t>
      </w:r>
      <w:r w:rsidR="00B8127F" w:rsidRPr="00861A89">
        <w:rPr>
          <w:rFonts w:ascii="Arial Narrow" w:hAnsi="Arial Narrow" w:cs="Calibri"/>
          <w:sz w:val="24"/>
          <w:szCs w:val="24"/>
        </w:rPr>
        <w:t>in D</w:t>
      </w:r>
      <w:r w:rsidR="008B3575" w:rsidRPr="00861A89">
        <w:rPr>
          <w:rFonts w:ascii="Arial Narrow" w:hAnsi="Arial Narrow" w:cs="Calibri"/>
          <w:sz w:val="24"/>
          <w:szCs w:val="24"/>
        </w:rPr>
        <w:t xml:space="preserve">evelopment </w:t>
      </w:r>
      <w:r w:rsidR="00B8127F" w:rsidRPr="00861A89">
        <w:rPr>
          <w:rFonts w:ascii="Arial Narrow" w:hAnsi="Arial Narrow" w:cs="Calibri"/>
          <w:sz w:val="24"/>
          <w:szCs w:val="24"/>
        </w:rPr>
        <w:t>O</w:t>
      </w:r>
      <w:r w:rsidR="008B3575" w:rsidRPr="00861A89">
        <w:rPr>
          <w:rFonts w:ascii="Arial Narrow" w:hAnsi="Arial Narrow" w:cs="Calibri"/>
          <w:sz w:val="24"/>
          <w:szCs w:val="24"/>
        </w:rPr>
        <w:t>wners require approval</w:t>
      </w:r>
      <w:r w:rsidR="00BB5C1C">
        <w:rPr>
          <w:rFonts w:ascii="Arial Narrow" w:hAnsi="Arial Narrow" w:cs="Calibri"/>
          <w:sz w:val="24"/>
          <w:szCs w:val="24"/>
        </w:rPr>
        <w:t xml:space="preserve"> or acknowledgement</w:t>
      </w:r>
      <w:r w:rsidR="008B3575" w:rsidRPr="00861A89">
        <w:rPr>
          <w:rFonts w:ascii="Arial Narrow" w:hAnsi="Arial Narrow" w:cs="Calibri"/>
          <w:sz w:val="24"/>
          <w:szCs w:val="24"/>
        </w:rPr>
        <w:t xml:space="preserve"> but generally are not amendments. </w:t>
      </w:r>
      <w:r w:rsidR="008B3575" w:rsidRPr="00861A89">
        <w:rPr>
          <w:rFonts w:ascii="Arial Narrow" w:hAnsi="Arial Narrow"/>
          <w:sz w:val="24"/>
          <w:szCs w:val="24"/>
        </w:rPr>
        <w:t>Pl</w:t>
      </w:r>
      <w:r w:rsidR="005524D3" w:rsidRPr="00861A89">
        <w:rPr>
          <w:rFonts w:ascii="Arial Narrow" w:hAnsi="Arial Narrow"/>
          <w:sz w:val="24"/>
          <w:szCs w:val="24"/>
        </w:rPr>
        <w:t>ace an</w:t>
      </w:r>
      <w:r w:rsidR="008B3575" w:rsidRPr="00861A89">
        <w:rPr>
          <w:rFonts w:ascii="Arial Narrow" w:hAnsi="Arial Narrow"/>
          <w:sz w:val="24"/>
          <w:szCs w:val="24"/>
        </w:rPr>
        <w:t xml:space="preserve"> x </w:t>
      </w:r>
      <w:r w:rsidR="005524D3" w:rsidRPr="00861A89">
        <w:rPr>
          <w:rFonts w:ascii="Arial Narrow" w:hAnsi="Arial Narrow"/>
          <w:sz w:val="24"/>
          <w:szCs w:val="24"/>
        </w:rPr>
        <w:t xml:space="preserve">in </w:t>
      </w:r>
      <w:r w:rsidR="008B3575" w:rsidRPr="00861A89">
        <w:rPr>
          <w:rFonts w:ascii="Arial Narrow" w:hAnsi="Arial Narrow"/>
          <w:sz w:val="24"/>
          <w:szCs w:val="24"/>
        </w:rPr>
        <w:t xml:space="preserve">the </w:t>
      </w:r>
      <w:r w:rsidR="00280B39" w:rsidRPr="00861A89">
        <w:rPr>
          <w:rFonts w:ascii="Arial Narrow" w:hAnsi="Arial Narrow"/>
          <w:sz w:val="24"/>
          <w:szCs w:val="24"/>
        </w:rPr>
        <w:t xml:space="preserve">applicable </w:t>
      </w:r>
      <w:r w:rsidR="008B3575" w:rsidRPr="00861A89">
        <w:rPr>
          <w:rFonts w:ascii="Arial Narrow" w:hAnsi="Arial Narrow"/>
          <w:sz w:val="24"/>
          <w:szCs w:val="24"/>
        </w:rPr>
        <w:t>box if you expect to submit a</w:t>
      </w:r>
      <w:r w:rsidR="00CD6FDB" w:rsidRPr="00861A89">
        <w:rPr>
          <w:rFonts w:ascii="Arial Narrow" w:hAnsi="Arial Narrow"/>
          <w:sz w:val="24"/>
          <w:szCs w:val="24"/>
        </w:rPr>
        <w:t xml:space="preserve"> request for a</w:t>
      </w:r>
      <w:r w:rsidR="008B3575" w:rsidRPr="00861A89">
        <w:rPr>
          <w:rFonts w:ascii="Arial Narrow" w:hAnsi="Arial Narrow"/>
          <w:sz w:val="24"/>
          <w:szCs w:val="24"/>
        </w:rPr>
        <w:t xml:space="preserve">n extension </w:t>
      </w:r>
      <w:r w:rsidR="00DA2EEF" w:rsidRPr="00861A89">
        <w:rPr>
          <w:rFonts w:ascii="Arial Narrow" w:hAnsi="Arial Narrow"/>
          <w:sz w:val="24"/>
          <w:szCs w:val="24"/>
        </w:rPr>
        <w:fldChar w:fldCharType="begin">
          <w:ffData>
            <w:name w:val=""/>
            <w:enabled/>
            <w:calcOnExit w:val="0"/>
            <w:checkBox>
              <w:sizeAuto/>
              <w:default w:val="0"/>
              <w:checked w:val="0"/>
            </w:checkBox>
          </w:ffData>
        </w:fldChar>
      </w:r>
      <w:r w:rsidR="008B3575" w:rsidRPr="00861A89">
        <w:rPr>
          <w:rFonts w:ascii="Arial Narrow" w:hAnsi="Arial Narrow"/>
          <w:sz w:val="24"/>
          <w:szCs w:val="24"/>
        </w:rPr>
        <w:instrText xml:space="preserve"> FORMCHECKBOX </w:instrText>
      </w:r>
      <w:r w:rsidR="00275F36">
        <w:rPr>
          <w:rFonts w:ascii="Arial Narrow" w:hAnsi="Arial Narrow"/>
          <w:sz w:val="24"/>
          <w:szCs w:val="24"/>
        </w:rPr>
      </w:r>
      <w:r w:rsidR="00275F36">
        <w:rPr>
          <w:rFonts w:ascii="Arial Narrow" w:hAnsi="Arial Narrow"/>
          <w:sz w:val="24"/>
          <w:szCs w:val="24"/>
        </w:rPr>
        <w:fldChar w:fldCharType="separate"/>
      </w:r>
      <w:r w:rsidR="00DA2EEF" w:rsidRPr="00861A89">
        <w:rPr>
          <w:rFonts w:ascii="Arial Narrow" w:hAnsi="Arial Narrow"/>
          <w:sz w:val="24"/>
          <w:szCs w:val="24"/>
        </w:rPr>
        <w:fldChar w:fldCharType="end"/>
      </w:r>
      <w:r w:rsidR="008B3575" w:rsidRPr="00861A89">
        <w:rPr>
          <w:rFonts w:ascii="Arial Narrow" w:hAnsi="Arial Narrow"/>
          <w:sz w:val="24"/>
          <w:szCs w:val="24"/>
        </w:rPr>
        <w:t xml:space="preserve">, ownership change </w:t>
      </w:r>
      <w:r w:rsidR="00DA2EEF" w:rsidRPr="00861A89">
        <w:rPr>
          <w:rFonts w:ascii="Arial Narrow" w:hAnsi="Arial Narrow"/>
          <w:sz w:val="24"/>
          <w:szCs w:val="24"/>
        </w:rPr>
        <w:fldChar w:fldCharType="begin">
          <w:ffData>
            <w:name w:val=""/>
            <w:enabled/>
            <w:calcOnExit w:val="0"/>
            <w:checkBox>
              <w:sizeAuto/>
              <w:default w:val="0"/>
              <w:checked w:val="0"/>
            </w:checkBox>
          </w:ffData>
        </w:fldChar>
      </w:r>
      <w:r w:rsidR="008B3575" w:rsidRPr="00861A89">
        <w:rPr>
          <w:rFonts w:ascii="Arial Narrow" w:hAnsi="Arial Narrow"/>
          <w:sz w:val="24"/>
          <w:szCs w:val="24"/>
        </w:rPr>
        <w:instrText xml:space="preserve"> FORMCHECKBOX </w:instrText>
      </w:r>
      <w:r w:rsidR="00275F36">
        <w:rPr>
          <w:rFonts w:ascii="Arial Narrow" w:hAnsi="Arial Narrow"/>
          <w:sz w:val="24"/>
          <w:szCs w:val="24"/>
        </w:rPr>
      </w:r>
      <w:r w:rsidR="00275F36">
        <w:rPr>
          <w:rFonts w:ascii="Arial Narrow" w:hAnsi="Arial Narrow"/>
          <w:sz w:val="24"/>
          <w:szCs w:val="24"/>
        </w:rPr>
        <w:fldChar w:fldCharType="separate"/>
      </w:r>
      <w:r w:rsidR="00DA2EEF" w:rsidRPr="00861A89">
        <w:rPr>
          <w:rFonts w:ascii="Arial Narrow" w:hAnsi="Arial Narrow"/>
          <w:sz w:val="24"/>
          <w:szCs w:val="24"/>
        </w:rPr>
        <w:fldChar w:fldCharType="end"/>
      </w:r>
      <w:r w:rsidR="008B3575" w:rsidRPr="00861A89">
        <w:rPr>
          <w:rFonts w:ascii="Arial Narrow" w:hAnsi="Arial Narrow"/>
          <w:sz w:val="24"/>
          <w:szCs w:val="24"/>
        </w:rPr>
        <w:t xml:space="preserve">, or amendment </w:t>
      </w:r>
      <w:r w:rsidR="00DA2EEF" w:rsidRPr="00861A89">
        <w:rPr>
          <w:rFonts w:ascii="Arial Narrow" w:hAnsi="Arial Narrow"/>
          <w:sz w:val="24"/>
          <w:szCs w:val="24"/>
        </w:rPr>
        <w:fldChar w:fldCharType="begin">
          <w:ffData>
            <w:name w:val=""/>
            <w:enabled/>
            <w:calcOnExit w:val="0"/>
            <w:checkBox>
              <w:sizeAuto/>
              <w:default w:val="0"/>
              <w:checked w:val="0"/>
            </w:checkBox>
          </w:ffData>
        </w:fldChar>
      </w:r>
      <w:r w:rsidR="008B3575" w:rsidRPr="00861A89">
        <w:rPr>
          <w:rFonts w:ascii="Arial Narrow" w:hAnsi="Arial Narrow"/>
          <w:sz w:val="24"/>
          <w:szCs w:val="24"/>
        </w:rPr>
        <w:instrText xml:space="preserve"> FORMCHECKBOX </w:instrText>
      </w:r>
      <w:r w:rsidR="00275F36">
        <w:rPr>
          <w:rFonts w:ascii="Arial Narrow" w:hAnsi="Arial Narrow"/>
          <w:sz w:val="24"/>
          <w:szCs w:val="24"/>
        </w:rPr>
      </w:r>
      <w:r w:rsidR="00275F36">
        <w:rPr>
          <w:rFonts w:ascii="Arial Narrow" w:hAnsi="Arial Narrow"/>
          <w:sz w:val="24"/>
          <w:szCs w:val="24"/>
        </w:rPr>
        <w:fldChar w:fldCharType="separate"/>
      </w:r>
      <w:r w:rsidR="00DA2EEF" w:rsidRPr="00861A89">
        <w:rPr>
          <w:rFonts w:ascii="Arial Narrow" w:hAnsi="Arial Narrow"/>
          <w:sz w:val="24"/>
          <w:szCs w:val="24"/>
        </w:rPr>
        <w:fldChar w:fldCharType="end"/>
      </w:r>
      <w:r w:rsidR="008B3575" w:rsidRPr="00861A89">
        <w:rPr>
          <w:rFonts w:ascii="Arial Narrow" w:hAnsi="Arial Narrow"/>
          <w:sz w:val="24"/>
          <w:szCs w:val="24"/>
        </w:rPr>
        <w:t>.</w:t>
      </w:r>
    </w:p>
    <w:p w14:paraId="23B84EE4" w14:textId="77777777" w:rsidR="00571D08" w:rsidRPr="00861A89" w:rsidRDefault="00571D08" w:rsidP="008B3575">
      <w:pPr>
        <w:autoSpaceDE w:val="0"/>
        <w:autoSpaceDN w:val="0"/>
        <w:adjustRightInd w:val="0"/>
        <w:spacing w:after="0" w:line="240" w:lineRule="auto"/>
        <w:jc w:val="both"/>
        <w:rPr>
          <w:rFonts w:ascii="Arial Narrow" w:hAnsi="Arial Narrow"/>
          <w:sz w:val="24"/>
          <w:szCs w:val="24"/>
        </w:rPr>
      </w:pPr>
    </w:p>
    <w:p w14:paraId="70B74C6E" w14:textId="77777777" w:rsidR="00571D08" w:rsidRPr="00861A89" w:rsidRDefault="003453F4" w:rsidP="007F3DFD">
      <w:pPr>
        <w:autoSpaceDE w:val="0"/>
        <w:autoSpaceDN w:val="0"/>
        <w:adjustRightInd w:val="0"/>
        <w:spacing w:after="0" w:line="240" w:lineRule="auto"/>
        <w:jc w:val="both"/>
        <w:rPr>
          <w:rFonts w:ascii="Arial Narrow" w:hAnsi="Arial Narrow" w:cs="Calibri"/>
          <w:color w:val="000000"/>
          <w:sz w:val="24"/>
          <w:szCs w:val="24"/>
        </w:rPr>
      </w:pPr>
      <w:r w:rsidRPr="00861A89">
        <w:rPr>
          <w:rFonts w:ascii="Arial Narrow" w:hAnsi="Arial Narrow" w:cs="Calibri"/>
          <w:color w:val="000000"/>
          <w:sz w:val="24"/>
          <w:szCs w:val="24"/>
        </w:rPr>
        <w:t xml:space="preserve">The </w:t>
      </w:r>
      <w:r w:rsidR="00B8127F" w:rsidRPr="00861A89">
        <w:rPr>
          <w:rFonts w:ascii="Arial Narrow" w:hAnsi="Arial Narrow" w:cs="Calibri"/>
          <w:color w:val="000000"/>
          <w:sz w:val="24"/>
          <w:szCs w:val="24"/>
        </w:rPr>
        <w:t>CAA</w:t>
      </w:r>
      <w:r w:rsidRPr="00861A89">
        <w:rPr>
          <w:rFonts w:ascii="Arial Narrow" w:hAnsi="Arial Narrow" w:cs="Calibri"/>
          <w:color w:val="000000"/>
          <w:sz w:val="24"/>
          <w:szCs w:val="24"/>
        </w:rPr>
        <w:t xml:space="preserve"> </w:t>
      </w:r>
      <w:r w:rsidR="007F3DFD" w:rsidRPr="00861A89">
        <w:rPr>
          <w:rFonts w:ascii="Arial Narrow" w:hAnsi="Arial Narrow" w:cs="Calibri"/>
          <w:color w:val="000000"/>
          <w:sz w:val="24"/>
          <w:szCs w:val="24"/>
        </w:rPr>
        <w:t xml:space="preserve">document </w:t>
      </w:r>
      <w:r w:rsidRPr="00861A89">
        <w:rPr>
          <w:rFonts w:ascii="Arial Narrow" w:hAnsi="Arial Narrow" w:cs="Calibri"/>
          <w:color w:val="000000"/>
          <w:sz w:val="24"/>
          <w:szCs w:val="24"/>
        </w:rPr>
        <w:t>is not posted on the website.</w:t>
      </w:r>
      <w:r w:rsidR="004606DA" w:rsidRPr="00861A89">
        <w:rPr>
          <w:rFonts w:ascii="Arial Narrow" w:hAnsi="Arial Narrow" w:cs="Calibri"/>
          <w:color w:val="000000"/>
          <w:sz w:val="24"/>
          <w:szCs w:val="24"/>
        </w:rPr>
        <w:t xml:space="preserve"> </w:t>
      </w:r>
      <w:r w:rsidRPr="00861A89">
        <w:rPr>
          <w:rFonts w:ascii="Arial Narrow" w:hAnsi="Arial Narrow" w:cs="Calibri"/>
          <w:color w:val="000000"/>
          <w:sz w:val="24"/>
          <w:szCs w:val="24"/>
        </w:rPr>
        <w:t>Department sta</w:t>
      </w:r>
      <w:r w:rsidR="00B8127F" w:rsidRPr="00861A89">
        <w:rPr>
          <w:rFonts w:ascii="Arial Narrow" w:hAnsi="Arial Narrow" w:cs="Calibri"/>
          <w:color w:val="000000"/>
          <w:sz w:val="24"/>
          <w:szCs w:val="24"/>
        </w:rPr>
        <w:t xml:space="preserve">ff will </w:t>
      </w:r>
      <w:r w:rsidR="006F75AC">
        <w:rPr>
          <w:rFonts w:ascii="Arial Narrow" w:hAnsi="Arial Narrow" w:cs="Calibri"/>
          <w:color w:val="000000"/>
          <w:sz w:val="24"/>
          <w:szCs w:val="24"/>
        </w:rPr>
        <w:t>email</w:t>
      </w:r>
      <w:r w:rsidR="00B8127F" w:rsidRPr="00861A89">
        <w:rPr>
          <w:rFonts w:ascii="Arial Narrow" w:hAnsi="Arial Narrow" w:cs="Calibri"/>
          <w:color w:val="000000"/>
          <w:sz w:val="24"/>
          <w:szCs w:val="24"/>
        </w:rPr>
        <w:t xml:space="preserve"> </w:t>
      </w:r>
      <w:r w:rsidR="00FC12DD">
        <w:rPr>
          <w:rFonts w:ascii="Arial Narrow" w:hAnsi="Arial Narrow" w:cs="Calibri"/>
          <w:color w:val="000000"/>
          <w:sz w:val="24"/>
          <w:szCs w:val="24"/>
        </w:rPr>
        <w:t>CAAs</w:t>
      </w:r>
      <w:r w:rsidR="00B8127F" w:rsidRPr="00861A89">
        <w:rPr>
          <w:rFonts w:ascii="Arial Narrow" w:hAnsi="Arial Narrow" w:cs="Calibri"/>
          <w:color w:val="000000"/>
          <w:sz w:val="24"/>
          <w:szCs w:val="24"/>
        </w:rPr>
        <w:t xml:space="preserve"> to the D</w:t>
      </w:r>
      <w:r w:rsidRPr="00861A89">
        <w:rPr>
          <w:rFonts w:ascii="Arial Narrow" w:hAnsi="Arial Narrow" w:cs="Calibri"/>
          <w:color w:val="000000"/>
          <w:sz w:val="24"/>
          <w:szCs w:val="24"/>
        </w:rPr>
        <w:t xml:space="preserve">evelopment </w:t>
      </w:r>
      <w:r w:rsidR="00B8127F" w:rsidRPr="00861A89">
        <w:rPr>
          <w:rFonts w:ascii="Arial Narrow" w:hAnsi="Arial Narrow" w:cs="Calibri"/>
          <w:color w:val="000000"/>
          <w:sz w:val="24"/>
          <w:szCs w:val="24"/>
        </w:rPr>
        <w:t>O</w:t>
      </w:r>
      <w:r w:rsidRPr="00861A89">
        <w:rPr>
          <w:rFonts w:ascii="Arial Narrow" w:hAnsi="Arial Narrow" w:cs="Calibri"/>
          <w:color w:val="000000"/>
          <w:sz w:val="24"/>
          <w:szCs w:val="24"/>
        </w:rPr>
        <w:t>wners with development</w:t>
      </w:r>
      <w:r w:rsidR="00896354" w:rsidRPr="00861A89">
        <w:rPr>
          <w:rFonts w:ascii="Arial Narrow" w:hAnsi="Arial Narrow" w:cs="Calibri"/>
          <w:color w:val="000000"/>
          <w:sz w:val="24"/>
          <w:szCs w:val="24"/>
        </w:rPr>
        <w:t>-</w:t>
      </w:r>
      <w:r w:rsidRPr="00861A89">
        <w:rPr>
          <w:rFonts w:ascii="Arial Narrow" w:hAnsi="Arial Narrow" w:cs="Calibri"/>
          <w:color w:val="000000"/>
          <w:sz w:val="24"/>
          <w:szCs w:val="24"/>
        </w:rPr>
        <w:t>specific</w:t>
      </w:r>
      <w:r w:rsidR="004606DA" w:rsidRPr="00861A89">
        <w:rPr>
          <w:rFonts w:ascii="Arial Narrow" w:hAnsi="Arial Narrow" w:cs="Calibri"/>
          <w:color w:val="000000"/>
          <w:sz w:val="24"/>
          <w:szCs w:val="24"/>
        </w:rPr>
        <w:t xml:space="preserve"> </w:t>
      </w:r>
      <w:r w:rsidRPr="00861A89">
        <w:rPr>
          <w:rFonts w:ascii="Arial Narrow" w:hAnsi="Arial Narrow" w:cs="Calibri"/>
          <w:color w:val="000000"/>
          <w:sz w:val="24"/>
          <w:szCs w:val="24"/>
        </w:rPr>
        <w:t>information completed.</w:t>
      </w:r>
      <w:r w:rsidR="004606DA" w:rsidRPr="00861A89">
        <w:rPr>
          <w:rFonts w:ascii="Arial Narrow" w:hAnsi="Arial Narrow" w:cs="Calibri"/>
          <w:color w:val="000000"/>
          <w:sz w:val="24"/>
          <w:szCs w:val="24"/>
        </w:rPr>
        <w:t xml:space="preserve"> </w:t>
      </w:r>
      <w:r w:rsidR="002571E7">
        <w:rPr>
          <w:rFonts w:ascii="Arial Narrow" w:hAnsi="Arial Narrow" w:cs="Calibri"/>
          <w:color w:val="000000"/>
          <w:sz w:val="24"/>
          <w:szCs w:val="24"/>
        </w:rPr>
        <w:t>These emails will be from Docu</w:t>
      </w:r>
      <w:r w:rsidR="00C3101E">
        <w:rPr>
          <w:rFonts w:ascii="Arial Narrow" w:hAnsi="Arial Narrow" w:cs="Calibri"/>
          <w:color w:val="000000"/>
          <w:sz w:val="24"/>
          <w:szCs w:val="24"/>
        </w:rPr>
        <w:t>S</w:t>
      </w:r>
      <w:r w:rsidR="002571E7">
        <w:rPr>
          <w:rFonts w:ascii="Arial Narrow" w:hAnsi="Arial Narrow" w:cs="Calibri"/>
          <w:color w:val="000000"/>
          <w:sz w:val="24"/>
          <w:szCs w:val="24"/>
        </w:rPr>
        <w:t>ign.</w:t>
      </w:r>
    </w:p>
    <w:p w14:paraId="42FBFC5D" w14:textId="77777777" w:rsidR="001F5AEC" w:rsidRPr="00861A89" w:rsidRDefault="0099521B" w:rsidP="001F5AEC">
      <w:pPr>
        <w:spacing w:before="160" w:after="0" w:line="240" w:lineRule="auto"/>
        <w:jc w:val="center"/>
        <w:rPr>
          <w:rFonts w:ascii="Arial Narrow" w:hAnsi="Arial Narrow"/>
          <w:sz w:val="24"/>
          <w:szCs w:val="24"/>
        </w:rPr>
      </w:pPr>
      <w:r w:rsidRPr="00861A89">
        <w:rPr>
          <w:rFonts w:ascii="Arial Narrow" w:hAnsi="Arial Narrow"/>
          <w:sz w:val="24"/>
          <w:szCs w:val="24"/>
        </w:rPr>
        <w:br w:type="page"/>
      </w:r>
      <w:r w:rsidR="001F5AEC">
        <w:rPr>
          <w:rFonts w:ascii="Arial Narrow" w:hAnsi="Arial Narrow"/>
          <w:sz w:val="24"/>
          <w:szCs w:val="24"/>
        </w:rPr>
        <w:lastRenderedPageBreak/>
        <w:t>Regarding the</w:t>
      </w:r>
      <w:r w:rsidR="001F5AEC" w:rsidRPr="00861A89">
        <w:rPr>
          <w:rFonts w:ascii="Arial Narrow" w:hAnsi="Arial Narrow"/>
          <w:sz w:val="24"/>
          <w:szCs w:val="24"/>
        </w:rPr>
        <w:t xml:space="preserve"> </w:t>
      </w:r>
      <w:r w:rsidR="001F5AEC">
        <w:rPr>
          <w:rFonts w:ascii="Arial Narrow" w:hAnsi="Arial Narrow"/>
          <w:sz w:val="24"/>
          <w:szCs w:val="24"/>
        </w:rPr>
        <w:t>Determination of</w:t>
      </w:r>
      <w:r w:rsidR="001F5AEC" w:rsidRPr="00861A89">
        <w:rPr>
          <w:rFonts w:ascii="Arial Narrow" w:hAnsi="Arial Narrow"/>
          <w:sz w:val="24"/>
          <w:szCs w:val="24"/>
        </w:rPr>
        <w:t xml:space="preserve"> Total Reasonably Expected Basis (TREB)</w:t>
      </w:r>
    </w:p>
    <w:p w14:paraId="580D64E9" w14:textId="27ED566E" w:rsidR="001F5AEC" w:rsidRPr="00861A89" w:rsidRDefault="001F5AEC" w:rsidP="001F5AEC">
      <w:pPr>
        <w:spacing w:before="160" w:after="0" w:line="240" w:lineRule="auto"/>
        <w:jc w:val="both"/>
        <w:rPr>
          <w:rFonts w:ascii="Arial Narrow" w:hAnsi="Arial Narrow"/>
          <w:sz w:val="24"/>
          <w:szCs w:val="24"/>
        </w:rPr>
      </w:pPr>
      <w:r w:rsidRPr="00861A89">
        <w:rPr>
          <w:rFonts w:ascii="Arial Narrow" w:hAnsi="Arial Narrow"/>
          <w:sz w:val="24"/>
          <w:szCs w:val="24"/>
        </w:rPr>
        <w:t xml:space="preserve">Total reasonably expected basis (TREB) must be sufficient to justify the </w:t>
      </w:r>
      <w:r w:rsidR="00C3101E">
        <w:rPr>
          <w:rFonts w:ascii="Arial Narrow" w:hAnsi="Arial Narrow"/>
          <w:sz w:val="24"/>
          <w:szCs w:val="24"/>
        </w:rPr>
        <w:t xml:space="preserve">amount of the </w:t>
      </w:r>
      <w:r w:rsidRPr="00861A89">
        <w:rPr>
          <w:rFonts w:ascii="Arial Narrow" w:hAnsi="Arial Narrow"/>
          <w:sz w:val="24"/>
          <w:szCs w:val="24"/>
        </w:rPr>
        <w:t xml:space="preserve">tax credit award that is indicated by </w:t>
      </w:r>
      <w:r>
        <w:rPr>
          <w:rFonts w:ascii="Arial Narrow" w:hAnsi="Arial Narrow"/>
          <w:sz w:val="24"/>
          <w:szCs w:val="24"/>
        </w:rPr>
        <w:t>the</w:t>
      </w:r>
      <w:r w:rsidRPr="00861A89">
        <w:rPr>
          <w:rFonts w:ascii="Arial Narrow" w:hAnsi="Arial Narrow"/>
          <w:sz w:val="24"/>
          <w:szCs w:val="24"/>
        </w:rPr>
        <w:t xml:space="preserve"> eligible basis</w:t>
      </w:r>
      <w:r>
        <w:rPr>
          <w:rFonts w:ascii="Arial Narrow" w:hAnsi="Arial Narrow"/>
          <w:sz w:val="24"/>
          <w:szCs w:val="24"/>
        </w:rPr>
        <w:t xml:space="preserve"> (EB)</w:t>
      </w:r>
      <w:r w:rsidRPr="00861A89">
        <w:rPr>
          <w:rFonts w:ascii="Arial Narrow" w:hAnsi="Arial Narrow"/>
          <w:sz w:val="24"/>
          <w:szCs w:val="24"/>
        </w:rPr>
        <w:t xml:space="preserve"> calculation</w:t>
      </w:r>
      <w:r>
        <w:rPr>
          <w:rFonts w:ascii="Arial Narrow" w:hAnsi="Arial Narrow"/>
          <w:sz w:val="24"/>
          <w:szCs w:val="24"/>
        </w:rPr>
        <w:t xml:space="preserve"> in the</w:t>
      </w:r>
      <w:r w:rsidRPr="00724793">
        <w:rPr>
          <w:rFonts w:ascii="Arial Narrow" w:hAnsi="Arial Narrow"/>
          <w:sz w:val="24"/>
          <w:szCs w:val="24"/>
        </w:rPr>
        <w:t xml:space="preserve"> </w:t>
      </w:r>
      <w:r w:rsidRPr="00861A89">
        <w:rPr>
          <w:rFonts w:ascii="Arial Narrow" w:hAnsi="Arial Narrow"/>
          <w:sz w:val="24"/>
          <w:szCs w:val="24"/>
        </w:rPr>
        <w:t>“Development Cost / Itemized Basis</w:t>
      </w:r>
      <w:r>
        <w:rPr>
          <w:rFonts w:ascii="Arial Narrow" w:hAnsi="Arial Narrow"/>
          <w:sz w:val="24"/>
          <w:szCs w:val="24"/>
        </w:rPr>
        <w:t>”</w:t>
      </w:r>
      <w:r w:rsidRPr="00861A89">
        <w:rPr>
          <w:rFonts w:ascii="Arial Narrow" w:hAnsi="Arial Narrow"/>
          <w:sz w:val="24"/>
          <w:szCs w:val="24"/>
        </w:rPr>
        <w:t xml:space="preserve"> </w:t>
      </w:r>
      <w:r>
        <w:rPr>
          <w:rFonts w:ascii="Arial Narrow" w:hAnsi="Arial Narrow"/>
          <w:sz w:val="24"/>
          <w:szCs w:val="24"/>
        </w:rPr>
        <w:t>table</w:t>
      </w:r>
      <w:r w:rsidR="002571E7" w:rsidRPr="002571E7">
        <w:rPr>
          <w:rFonts w:ascii="Arial Narrow" w:hAnsi="Arial Narrow"/>
          <w:sz w:val="24"/>
          <w:szCs w:val="24"/>
        </w:rPr>
        <w:t xml:space="preserve"> </w:t>
      </w:r>
      <w:r w:rsidR="002571E7">
        <w:rPr>
          <w:rFonts w:ascii="Arial Narrow" w:hAnsi="Arial Narrow"/>
          <w:sz w:val="24"/>
          <w:szCs w:val="24"/>
        </w:rPr>
        <w:t>(DC/IB) of the TDHCA underwriting report</w:t>
      </w:r>
      <w:r w:rsidRPr="00861A89">
        <w:rPr>
          <w:rFonts w:ascii="Arial Narrow" w:hAnsi="Arial Narrow"/>
          <w:sz w:val="24"/>
          <w:szCs w:val="24"/>
        </w:rPr>
        <w:t xml:space="preserve">. </w:t>
      </w:r>
      <w:r w:rsidR="002571E7">
        <w:rPr>
          <w:rFonts w:ascii="Arial Narrow" w:hAnsi="Arial Narrow"/>
          <w:sz w:val="24"/>
          <w:szCs w:val="24"/>
        </w:rPr>
        <w:t>In relation to t</w:t>
      </w:r>
      <w:r>
        <w:rPr>
          <w:rFonts w:ascii="Arial Narrow" w:hAnsi="Arial Narrow"/>
          <w:sz w:val="24"/>
          <w:szCs w:val="24"/>
        </w:rPr>
        <w:t>he</w:t>
      </w:r>
      <w:r w:rsidR="002571E7">
        <w:rPr>
          <w:rFonts w:ascii="Arial Narrow" w:hAnsi="Arial Narrow"/>
          <w:sz w:val="24"/>
          <w:szCs w:val="24"/>
        </w:rPr>
        <w:t xml:space="preserve"> </w:t>
      </w:r>
      <w:r>
        <w:rPr>
          <w:rFonts w:ascii="Arial Narrow" w:hAnsi="Arial Narrow"/>
          <w:sz w:val="24"/>
          <w:szCs w:val="24"/>
        </w:rPr>
        <w:t xml:space="preserve">DC/IB, TREB </w:t>
      </w:r>
      <w:r w:rsidR="002571E7">
        <w:rPr>
          <w:rFonts w:ascii="Arial Narrow" w:hAnsi="Arial Narrow"/>
          <w:sz w:val="24"/>
          <w:szCs w:val="24"/>
        </w:rPr>
        <w:t>can</w:t>
      </w:r>
      <w:r>
        <w:rPr>
          <w:rFonts w:ascii="Arial Narrow" w:hAnsi="Arial Narrow"/>
          <w:sz w:val="24"/>
          <w:szCs w:val="24"/>
        </w:rPr>
        <w:t xml:space="preserve">not be lower than the unadjusted EB plus the acquisition cost of land and </w:t>
      </w:r>
      <w:r w:rsidRPr="00786301">
        <w:rPr>
          <w:rFonts w:ascii="Arial Narrow" w:hAnsi="Arial Narrow"/>
          <w:sz w:val="24"/>
          <w:szCs w:val="24"/>
        </w:rPr>
        <w:t>buildings</w:t>
      </w:r>
      <w:r>
        <w:rPr>
          <w:rFonts w:ascii="Arial Narrow" w:hAnsi="Arial Narrow"/>
          <w:b/>
          <w:sz w:val="24"/>
          <w:szCs w:val="24"/>
        </w:rPr>
        <w:t xml:space="preserve">, </w:t>
      </w:r>
      <w:r>
        <w:rPr>
          <w:rFonts w:ascii="Arial Narrow" w:hAnsi="Arial Narrow"/>
          <w:sz w:val="24"/>
          <w:szCs w:val="24"/>
        </w:rPr>
        <w:t xml:space="preserve">including </w:t>
      </w:r>
      <w:r w:rsidRPr="00EC4D51">
        <w:rPr>
          <w:rFonts w:ascii="Arial Narrow" w:hAnsi="Arial Narrow"/>
          <w:b/>
          <w:sz w:val="24"/>
          <w:szCs w:val="24"/>
        </w:rPr>
        <w:t>closing costs</w:t>
      </w:r>
      <w:r>
        <w:rPr>
          <w:rFonts w:ascii="Arial Narrow" w:hAnsi="Arial Narrow"/>
          <w:sz w:val="24"/>
          <w:szCs w:val="24"/>
        </w:rPr>
        <w:t xml:space="preserve">, </w:t>
      </w:r>
      <w:r w:rsidRPr="00120561">
        <w:rPr>
          <w:rFonts w:ascii="Arial Narrow" w:hAnsi="Arial Narrow"/>
          <w:sz w:val="24"/>
          <w:szCs w:val="24"/>
        </w:rPr>
        <w:t xml:space="preserve">associated </w:t>
      </w:r>
      <w:r w:rsidRPr="00EC4D51">
        <w:rPr>
          <w:rFonts w:ascii="Arial Narrow" w:hAnsi="Arial Narrow"/>
          <w:b/>
          <w:sz w:val="24"/>
          <w:szCs w:val="24"/>
        </w:rPr>
        <w:t>legal fees</w:t>
      </w:r>
      <w:r>
        <w:rPr>
          <w:rFonts w:ascii="Arial Narrow" w:hAnsi="Arial Narrow"/>
          <w:sz w:val="24"/>
          <w:szCs w:val="24"/>
        </w:rPr>
        <w:t xml:space="preserve">, and </w:t>
      </w:r>
      <w:r w:rsidRPr="00EC4D51">
        <w:rPr>
          <w:rFonts w:ascii="Arial Narrow" w:hAnsi="Arial Narrow"/>
          <w:b/>
          <w:sz w:val="24"/>
          <w:szCs w:val="24"/>
        </w:rPr>
        <w:t>demolition cost</w:t>
      </w:r>
      <w:r>
        <w:rPr>
          <w:rFonts w:ascii="Arial Narrow" w:hAnsi="Arial Narrow"/>
          <w:b/>
          <w:sz w:val="24"/>
          <w:szCs w:val="24"/>
        </w:rPr>
        <w:t xml:space="preserve">. </w:t>
      </w:r>
      <w:r>
        <w:rPr>
          <w:rFonts w:ascii="Arial Narrow" w:hAnsi="Arial Narrow"/>
          <w:sz w:val="24"/>
          <w:szCs w:val="24"/>
        </w:rPr>
        <w:t>B</w:t>
      </w:r>
      <w:r w:rsidRPr="00D9721A">
        <w:rPr>
          <w:rFonts w:ascii="Arial Narrow" w:hAnsi="Arial Narrow"/>
          <w:sz w:val="24"/>
          <w:szCs w:val="24"/>
        </w:rPr>
        <w:t xml:space="preserve">uildings that </w:t>
      </w:r>
      <w:r>
        <w:rPr>
          <w:rFonts w:ascii="Arial Narrow" w:hAnsi="Arial Narrow"/>
          <w:sz w:val="24"/>
          <w:szCs w:val="24"/>
        </w:rPr>
        <w:t>will</w:t>
      </w:r>
      <w:r w:rsidRPr="00D9721A">
        <w:rPr>
          <w:rFonts w:ascii="Arial Narrow" w:hAnsi="Arial Narrow"/>
          <w:sz w:val="24"/>
          <w:szCs w:val="24"/>
        </w:rPr>
        <w:t xml:space="preserve"> be demolished have no acquisition basis,</w:t>
      </w:r>
      <w:r>
        <w:rPr>
          <w:rFonts w:ascii="Arial Narrow" w:hAnsi="Arial Narrow"/>
          <w:sz w:val="24"/>
          <w:szCs w:val="24"/>
        </w:rPr>
        <w:t xml:space="preserve"> but</w:t>
      </w:r>
      <w:r w:rsidRPr="00D9721A">
        <w:rPr>
          <w:rFonts w:ascii="Arial Narrow" w:hAnsi="Arial Narrow"/>
          <w:sz w:val="24"/>
          <w:szCs w:val="24"/>
        </w:rPr>
        <w:t xml:space="preserve"> the</w:t>
      </w:r>
      <w:r>
        <w:rPr>
          <w:rFonts w:ascii="Arial Narrow" w:hAnsi="Arial Narrow"/>
          <w:sz w:val="24"/>
          <w:szCs w:val="24"/>
        </w:rPr>
        <w:t>ir</w:t>
      </w:r>
      <w:r w:rsidRPr="00D9721A">
        <w:rPr>
          <w:rFonts w:ascii="Arial Narrow" w:hAnsi="Arial Narrow"/>
          <w:sz w:val="24"/>
          <w:szCs w:val="24"/>
        </w:rPr>
        <w:t xml:space="preserve"> demolition cost is generally part of the basis in</w:t>
      </w:r>
      <w:r>
        <w:rPr>
          <w:rFonts w:ascii="Arial Narrow" w:hAnsi="Arial Narrow"/>
          <w:sz w:val="24"/>
          <w:szCs w:val="24"/>
        </w:rPr>
        <w:t xml:space="preserve"> land (IRS Publication 551 [</w:t>
      </w:r>
      <w:r w:rsidRPr="00D9721A">
        <w:rPr>
          <w:rFonts w:ascii="Arial Narrow" w:hAnsi="Arial Narrow"/>
          <w:sz w:val="24"/>
          <w:szCs w:val="24"/>
        </w:rPr>
        <w:t>7/2011</w:t>
      </w:r>
      <w:r>
        <w:rPr>
          <w:rFonts w:ascii="Arial Narrow" w:hAnsi="Arial Narrow"/>
          <w:sz w:val="24"/>
          <w:szCs w:val="24"/>
        </w:rPr>
        <w:t>]</w:t>
      </w:r>
      <w:r w:rsidRPr="00D9721A">
        <w:rPr>
          <w:rFonts w:ascii="Arial Narrow" w:hAnsi="Arial Narrow"/>
          <w:sz w:val="24"/>
          <w:szCs w:val="24"/>
        </w:rPr>
        <w:t>)</w:t>
      </w:r>
      <w:r>
        <w:rPr>
          <w:rFonts w:ascii="Arial Narrow" w:hAnsi="Arial Narrow"/>
          <w:sz w:val="24"/>
          <w:szCs w:val="24"/>
        </w:rPr>
        <w:t xml:space="preserve">. </w:t>
      </w:r>
      <w:r w:rsidRPr="00286100">
        <w:rPr>
          <w:rFonts w:ascii="Arial Narrow" w:hAnsi="Arial Narrow"/>
          <w:b/>
          <w:sz w:val="24"/>
          <w:szCs w:val="24"/>
        </w:rPr>
        <w:t>G</w:t>
      </w:r>
      <w:r w:rsidRPr="007B2012">
        <w:rPr>
          <w:rFonts w:ascii="Arial Narrow" w:hAnsi="Arial Narrow"/>
          <w:b/>
          <w:sz w:val="24"/>
          <w:szCs w:val="24"/>
        </w:rPr>
        <w:t>round leases</w:t>
      </w:r>
      <w:r>
        <w:rPr>
          <w:rFonts w:ascii="Arial Narrow" w:hAnsi="Arial Narrow"/>
          <w:sz w:val="24"/>
          <w:szCs w:val="24"/>
        </w:rPr>
        <w:t xml:space="preserve"> require informed consideration because </w:t>
      </w:r>
      <w:r w:rsidRPr="007B2012">
        <w:rPr>
          <w:rFonts w:ascii="Arial Narrow" w:hAnsi="Arial Narrow"/>
          <w:b/>
          <w:sz w:val="24"/>
          <w:szCs w:val="24"/>
        </w:rPr>
        <w:t>capitaliz</w:t>
      </w:r>
      <w:r>
        <w:rPr>
          <w:rFonts w:ascii="Arial Narrow" w:hAnsi="Arial Narrow"/>
          <w:b/>
          <w:sz w:val="24"/>
          <w:szCs w:val="24"/>
        </w:rPr>
        <w:t>ing</w:t>
      </w:r>
      <w:r>
        <w:rPr>
          <w:rFonts w:ascii="Arial Narrow" w:hAnsi="Arial Narrow"/>
          <w:sz w:val="24"/>
          <w:szCs w:val="24"/>
        </w:rPr>
        <w:t xml:space="preserve"> these leases and including them in TREB is frequently the required tax treatment. Because the DC/IB may include </w:t>
      </w:r>
      <w:r w:rsidR="002571E7">
        <w:rPr>
          <w:rFonts w:ascii="Arial Narrow" w:hAnsi="Arial Narrow"/>
          <w:sz w:val="24"/>
          <w:szCs w:val="24"/>
        </w:rPr>
        <w:t xml:space="preserve">TDHCA </w:t>
      </w:r>
      <w:r>
        <w:rPr>
          <w:rFonts w:ascii="Arial Narrow" w:hAnsi="Arial Narrow"/>
          <w:sz w:val="24"/>
          <w:szCs w:val="24"/>
        </w:rPr>
        <w:t>underwriting</w:t>
      </w:r>
      <w:r w:rsidR="00335EFD">
        <w:rPr>
          <w:rFonts w:ascii="Arial Narrow" w:hAnsi="Arial Narrow"/>
          <w:sz w:val="24"/>
          <w:szCs w:val="24"/>
        </w:rPr>
        <w:t xml:space="preserve"> limits</w:t>
      </w:r>
      <w:r>
        <w:rPr>
          <w:rFonts w:ascii="Arial Narrow" w:hAnsi="Arial Narrow"/>
          <w:sz w:val="24"/>
          <w:szCs w:val="24"/>
        </w:rPr>
        <w:t xml:space="preserve"> on EB that do not apply to TREB, </w:t>
      </w:r>
      <w:r w:rsidRPr="00861A89">
        <w:rPr>
          <w:rFonts w:ascii="Arial Narrow" w:hAnsi="Arial Narrow"/>
          <w:sz w:val="24"/>
          <w:szCs w:val="24"/>
        </w:rPr>
        <w:t xml:space="preserve">TREB </w:t>
      </w:r>
      <w:r>
        <w:rPr>
          <w:rFonts w:ascii="Arial Narrow" w:hAnsi="Arial Narrow"/>
          <w:sz w:val="24"/>
          <w:szCs w:val="24"/>
        </w:rPr>
        <w:t xml:space="preserve">will typically be substantially higher than acquisition costs plus EB. </w:t>
      </w:r>
      <w:r w:rsidR="00335EFD">
        <w:rPr>
          <w:rFonts w:ascii="Arial Narrow" w:hAnsi="Arial Narrow"/>
          <w:sz w:val="24"/>
          <w:szCs w:val="24"/>
        </w:rPr>
        <w:t>Some of t</w:t>
      </w:r>
      <w:r>
        <w:rPr>
          <w:rFonts w:ascii="Arial Narrow" w:hAnsi="Arial Narrow"/>
          <w:sz w:val="24"/>
          <w:szCs w:val="24"/>
        </w:rPr>
        <w:t xml:space="preserve">hese underwriting limits </w:t>
      </w:r>
      <w:r w:rsidR="00335EFD">
        <w:rPr>
          <w:rFonts w:ascii="Arial Narrow" w:hAnsi="Arial Narrow"/>
          <w:sz w:val="24"/>
          <w:szCs w:val="24"/>
        </w:rPr>
        <w:t xml:space="preserve">are </w:t>
      </w:r>
      <w:r>
        <w:rPr>
          <w:rFonts w:ascii="Arial Narrow" w:hAnsi="Arial Narrow"/>
          <w:sz w:val="24"/>
          <w:szCs w:val="24"/>
        </w:rPr>
        <w:t xml:space="preserve">more apparent in the Development Cost Schedule (DCS) than the DC/IB. They may be reflected in </w:t>
      </w:r>
      <w:r w:rsidRPr="00EC4D51">
        <w:rPr>
          <w:rFonts w:ascii="Arial Narrow" w:hAnsi="Arial Narrow"/>
          <w:b/>
          <w:sz w:val="24"/>
          <w:szCs w:val="24"/>
        </w:rPr>
        <w:t>Voluntary Eligible Building Costs</w:t>
      </w:r>
      <w:r>
        <w:rPr>
          <w:rFonts w:ascii="Arial Narrow" w:hAnsi="Arial Narrow"/>
          <w:sz w:val="24"/>
          <w:szCs w:val="24"/>
        </w:rPr>
        <w:t xml:space="preserve"> or </w:t>
      </w:r>
      <w:r w:rsidRPr="00EC4D51">
        <w:rPr>
          <w:rFonts w:ascii="Arial Narrow" w:hAnsi="Arial Narrow"/>
          <w:b/>
          <w:sz w:val="24"/>
          <w:szCs w:val="24"/>
        </w:rPr>
        <w:t>Voluntary Eligible “Hard Costs</w:t>
      </w:r>
      <w:r>
        <w:rPr>
          <w:rFonts w:ascii="Arial Narrow" w:hAnsi="Arial Narrow"/>
          <w:b/>
          <w:sz w:val="24"/>
          <w:szCs w:val="24"/>
        </w:rPr>
        <w:t>,</w:t>
      </w:r>
      <w:r w:rsidRPr="00EC4D51">
        <w:rPr>
          <w:rFonts w:ascii="Arial Narrow" w:hAnsi="Arial Narrow"/>
          <w:b/>
          <w:sz w:val="24"/>
          <w:szCs w:val="24"/>
        </w:rPr>
        <w:t>”</w:t>
      </w:r>
      <w:r>
        <w:rPr>
          <w:rFonts w:ascii="Arial Narrow" w:hAnsi="Arial Narrow"/>
          <w:sz w:val="24"/>
          <w:szCs w:val="24"/>
        </w:rPr>
        <w:t xml:space="preserve"> and the EB components of </w:t>
      </w:r>
      <w:r w:rsidRPr="00120561">
        <w:rPr>
          <w:rFonts w:ascii="Arial Narrow" w:hAnsi="Arial Narrow"/>
          <w:b/>
          <w:sz w:val="24"/>
          <w:szCs w:val="24"/>
        </w:rPr>
        <w:t>Contingency</w:t>
      </w:r>
      <w:r>
        <w:rPr>
          <w:rFonts w:ascii="Arial Narrow" w:hAnsi="Arial Narrow"/>
          <w:sz w:val="24"/>
          <w:szCs w:val="24"/>
        </w:rPr>
        <w:t xml:space="preserve">, </w:t>
      </w:r>
      <w:r w:rsidRPr="00120561">
        <w:rPr>
          <w:rFonts w:ascii="Arial Narrow" w:hAnsi="Arial Narrow"/>
          <w:b/>
          <w:sz w:val="24"/>
          <w:szCs w:val="24"/>
        </w:rPr>
        <w:t xml:space="preserve">Contractor </w:t>
      </w:r>
      <w:proofErr w:type="gramStart"/>
      <w:r w:rsidRPr="00120561">
        <w:rPr>
          <w:rFonts w:ascii="Arial Narrow" w:hAnsi="Arial Narrow"/>
          <w:b/>
          <w:sz w:val="24"/>
          <w:szCs w:val="24"/>
        </w:rPr>
        <w:t>Fees</w:t>
      </w:r>
      <w:proofErr w:type="gramEnd"/>
      <w:r>
        <w:rPr>
          <w:rFonts w:ascii="Arial Narrow" w:hAnsi="Arial Narrow"/>
          <w:sz w:val="24"/>
          <w:szCs w:val="24"/>
        </w:rPr>
        <w:t xml:space="preserve"> and </w:t>
      </w:r>
      <w:r w:rsidRPr="00120561">
        <w:rPr>
          <w:rFonts w:ascii="Arial Narrow" w:hAnsi="Arial Narrow"/>
          <w:b/>
          <w:sz w:val="24"/>
          <w:szCs w:val="24"/>
        </w:rPr>
        <w:t>Developer Fees</w:t>
      </w:r>
      <w:r>
        <w:rPr>
          <w:rFonts w:ascii="Arial Narrow" w:hAnsi="Arial Narrow"/>
          <w:sz w:val="24"/>
          <w:szCs w:val="24"/>
        </w:rPr>
        <w:t xml:space="preserve">. In addition, underwriting constraints may affect </w:t>
      </w:r>
      <w:r w:rsidRPr="00120561">
        <w:rPr>
          <w:rFonts w:ascii="Arial Narrow" w:hAnsi="Arial Narrow"/>
          <w:sz w:val="24"/>
          <w:szCs w:val="24"/>
        </w:rPr>
        <w:t>“</w:t>
      </w:r>
      <w:r w:rsidRPr="00C1584D">
        <w:rPr>
          <w:rFonts w:ascii="Arial Narrow" w:hAnsi="Arial Narrow"/>
          <w:b/>
          <w:sz w:val="24"/>
          <w:szCs w:val="24"/>
        </w:rPr>
        <w:t>Commercial Space Costs</w:t>
      </w:r>
      <w:r w:rsidRPr="00120561">
        <w:rPr>
          <w:rFonts w:ascii="Arial Narrow" w:hAnsi="Arial Narrow"/>
          <w:sz w:val="24"/>
          <w:szCs w:val="24"/>
        </w:rPr>
        <w:t>,”</w:t>
      </w:r>
      <w:r w:rsidRPr="00C1584D">
        <w:rPr>
          <w:rFonts w:ascii="Arial Narrow" w:hAnsi="Arial Narrow"/>
          <w:b/>
          <w:sz w:val="24"/>
          <w:szCs w:val="24"/>
        </w:rPr>
        <w:t xml:space="preserve"> </w:t>
      </w:r>
      <w:r w:rsidRPr="00120561">
        <w:rPr>
          <w:rFonts w:ascii="Arial Narrow" w:hAnsi="Arial Narrow"/>
          <w:sz w:val="24"/>
          <w:szCs w:val="24"/>
        </w:rPr>
        <w:t>“</w:t>
      </w:r>
      <w:r>
        <w:rPr>
          <w:rFonts w:ascii="Arial Narrow" w:hAnsi="Arial Narrow"/>
          <w:b/>
          <w:sz w:val="24"/>
          <w:szCs w:val="24"/>
        </w:rPr>
        <w:t>Carports and/or Garages</w:t>
      </w:r>
      <w:r w:rsidRPr="00120561">
        <w:rPr>
          <w:rFonts w:ascii="Arial Narrow" w:hAnsi="Arial Narrow"/>
          <w:sz w:val="24"/>
          <w:szCs w:val="24"/>
        </w:rPr>
        <w:t>,” and “</w:t>
      </w:r>
      <w:r>
        <w:rPr>
          <w:rFonts w:ascii="Arial Narrow" w:hAnsi="Arial Narrow"/>
          <w:b/>
          <w:sz w:val="24"/>
          <w:szCs w:val="24"/>
        </w:rPr>
        <w:t>Structured Parking.</w:t>
      </w:r>
      <w:r w:rsidRPr="00120561">
        <w:rPr>
          <w:rFonts w:ascii="Arial Narrow" w:hAnsi="Arial Narrow"/>
          <w:sz w:val="24"/>
          <w:szCs w:val="24"/>
        </w:rPr>
        <w:t xml:space="preserve">” </w:t>
      </w:r>
      <w:r>
        <w:rPr>
          <w:rFonts w:ascii="Arial Narrow" w:hAnsi="Arial Narrow"/>
          <w:sz w:val="24"/>
          <w:szCs w:val="24"/>
        </w:rPr>
        <w:t xml:space="preserve">However, these three items, </w:t>
      </w:r>
      <w:r w:rsidRPr="00120561">
        <w:rPr>
          <w:rFonts w:ascii="Arial Narrow" w:hAnsi="Arial Narrow"/>
          <w:sz w:val="24"/>
          <w:szCs w:val="24"/>
        </w:rPr>
        <w:t xml:space="preserve">in their entirety, not </w:t>
      </w:r>
      <w:r>
        <w:rPr>
          <w:rFonts w:ascii="Arial Narrow" w:hAnsi="Arial Narrow"/>
          <w:sz w:val="24"/>
          <w:szCs w:val="24"/>
        </w:rPr>
        <w:t>only</w:t>
      </w:r>
      <w:r w:rsidRPr="00120561">
        <w:rPr>
          <w:rFonts w:ascii="Arial Narrow" w:hAnsi="Arial Narrow"/>
          <w:sz w:val="24"/>
          <w:szCs w:val="24"/>
        </w:rPr>
        <w:t xml:space="preserve"> the </w:t>
      </w:r>
      <w:r>
        <w:rPr>
          <w:rFonts w:ascii="Arial Narrow" w:hAnsi="Arial Narrow"/>
          <w:sz w:val="24"/>
          <w:szCs w:val="24"/>
        </w:rPr>
        <w:t>EB</w:t>
      </w:r>
      <w:r w:rsidRPr="00120561">
        <w:rPr>
          <w:rFonts w:ascii="Arial Narrow" w:hAnsi="Arial Narrow"/>
          <w:sz w:val="24"/>
          <w:szCs w:val="24"/>
        </w:rPr>
        <w:t xml:space="preserve"> portions, </w:t>
      </w:r>
      <w:r>
        <w:rPr>
          <w:rFonts w:ascii="Arial Narrow" w:hAnsi="Arial Narrow"/>
          <w:sz w:val="24"/>
          <w:szCs w:val="24"/>
        </w:rPr>
        <w:t>must</w:t>
      </w:r>
      <w:r w:rsidRPr="00120561">
        <w:rPr>
          <w:rFonts w:ascii="Arial Narrow" w:hAnsi="Arial Narrow"/>
          <w:sz w:val="24"/>
          <w:szCs w:val="24"/>
        </w:rPr>
        <w:t xml:space="preserve"> </w:t>
      </w:r>
      <w:r>
        <w:rPr>
          <w:rFonts w:ascii="Arial Narrow" w:hAnsi="Arial Narrow"/>
          <w:sz w:val="24"/>
          <w:szCs w:val="24"/>
        </w:rPr>
        <w:t xml:space="preserve">always </w:t>
      </w:r>
      <w:r w:rsidRPr="00120561">
        <w:rPr>
          <w:rFonts w:ascii="Arial Narrow" w:hAnsi="Arial Narrow"/>
          <w:sz w:val="24"/>
          <w:szCs w:val="24"/>
        </w:rPr>
        <w:t xml:space="preserve">be included in TREB. </w:t>
      </w:r>
      <w:r>
        <w:rPr>
          <w:rFonts w:ascii="Arial Narrow" w:hAnsi="Arial Narrow"/>
          <w:sz w:val="24"/>
          <w:szCs w:val="24"/>
        </w:rPr>
        <w:t>Generally</w:t>
      </w:r>
      <w:r w:rsidRPr="00120561">
        <w:rPr>
          <w:rFonts w:ascii="Arial Narrow" w:hAnsi="Arial Narrow"/>
          <w:sz w:val="24"/>
          <w:szCs w:val="24"/>
        </w:rPr>
        <w:t xml:space="preserve">, the </w:t>
      </w:r>
      <w:r>
        <w:rPr>
          <w:rFonts w:ascii="Arial Narrow" w:hAnsi="Arial Narrow"/>
          <w:sz w:val="24"/>
          <w:szCs w:val="24"/>
        </w:rPr>
        <w:t xml:space="preserve">entire </w:t>
      </w:r>
      <w:r w:rsidRPr="00120561">
        <w:rPr>
          <w:rFonts w:ascii="Arial Narrow" w:hAnsi="Arial Narrow"/>
          <w:sz w:val="24"/>
          <w:szCs w:val="24"/>
        </w:rPr>
        <w:t xml:space="preserve">cost </w:t>
      </w:r>
      <w:r>
        <w:rPr>
          <w:rFonts w:ascii="Arial Narrow" w:hAnsi="Arial Narrow"/>
          <w:sz w:val="24"/>
          <w:szCs w:val="24"/>
        </w:rPr>
        <w:t>on</w:t>
      </w:r>
      <w:r w:rsidRPr="00120561">
        <w:rPr>
          <w:rFonts w:ascii="Arial Narrow" w:hAnsi="Arial Narrow"/>
          <w:sz w:val="24"/>
          <w:szCs w:val="24"/>
        </w:rPr>
        <w:t xml:space="preserve"> the “Subtotal Building Costs” line of the Development Cost Schedule </w:t>
      </w:r>
      <w:r>
        <w:rPr>
          <w:rFonts w:ascii="Arial Narrow" w:hAnsi="Arial Narrow"/>
          <w:sz w:val="24"/>
          <w:szCs w:val="24"/>
        </w:rPr>
        <w:t xml:space="preserve">should be </w:t>
      </w:r>
      <w:r w:rsidRPr="00120561">
        <w:rPr>
          <w:rFonts w:ascii="Arial Narrow" w:hAnsi="Arial Narrow"/>
          <w:sz w:val="24"/>
          <w:szCs w:val="24"/>
        </w:rPr>
        <w:t>included in TREB.</w:t>
      </w:r>
      <w:r>
        <w:rPr>
          <w:rFonts w:ascii="Arial Narrow" w:hAnsi="Arial Narrow"/>
          <w:sz w:val="24"/>
          <w:szCs w:val="24"/>
        </w:rPr>
        <w:t xml:space="preserve"> </w:t>
      </w:r>
      <w:r w:rsidR="001B3191">
        <w:rPr>
          <w:rFonts w:ascii="Arial Narrow" w:hAnsi="Arial Narrow"/>
          <w:sz w:val="24"/>
          <w:szCs w:val="24"/>
        </w:rPr>
        <w:t>In addition, s</w:t>
      </w:r>
      <w:r>
        <w:rPr>
          <w:rFonts w:ascii="Arial Narrow" w:hAnsi="Arial Narrow"/>
          <w:sz w:val="24"/>
          <w:szCs w:val="24"/>
        </w:rPr>
        <w:t xml:space="preserve">ome types of Off-site Costs should be included in TREB. All Soft Costs except Marketing might be part of TREB. </w:t>
      </w:r>
      <w:r w:rsidRPr="00F2422C">
        <w:rPr>
          <w:rFonts w:ascii="Arial Narrow" w:hAnsi="Arial Narrow"/>
          <w:sz w:val="24"/>
          <w:szCs w:val="24"/>
        </w:rPr>
        <w:t>If</w:t>
      </w:r>
      <w:r w:rsidRPr="00861A89">
        <w:rPr>
          <w:rFonts w:ascii="Arial Narrow" w:hAnsi="Arial Narrow"/>
          <w:sz w:val="24"/>
          <w:szCs w:val="24"/>
        </w:rPr>
        <w:t xml:space="preserve"> the development involves rehabilitation and there are acquisition costs </w:t>
      </w:r>
      <w:r>
        <w:rPr>
          <w:rFonts w:ascii="Arial Narrow" w:hAnsi="Arial Narrow"/>
          <w:sz w:val="24"/>
          <w:szCs w:val="24"/>
        </w:rPr>
        <w:t xml:space="preserve">as well as rehabilitation costs, these costs </w:t>
      </w:r>
      <w:r w:rsidRPr="001F6FDF">
        <w:rPr>
          <w:rFonts w:ascii="Arial Narrow" w:hAnsi="Arial Narrow"/>
          <w:sz w:val="24"/>
          <w:szCs w:val="24"/>
        </w:rPr>
        <w:t>might be part of taxpayer’s basis and includible in TREB</w:t>
      </w:r>
      <w:r>
        <w:rPr>
          <w:rFonts w:ascii="Arial Narrow" w:hAnsi="Arial Narrow"/>
          <w:sz w:val="24"/>
          <w:szCs w:val="24"/>
        </w:rPr>
        <w:t>,</w:t>
      </w:r>
      <w:r w:rsidRPr="001F6FDF">
        <w:rPr>
          <w:rFonts w:ascii="Arial Narrow" w:hAnsi="Arial Narrow"/>
          <w:sz w:val="24"/>
          <w:szCs w:val="24"/>
        </w:rPr>
        <w:t xml:space="preserve"> even if th</w:t>
      </w:r>
      <w:r>
        <w:rPr>
          <w:rFonts w:ascii="Arial Narrow" w:hAnsi="Arial Narrow"/>
          <w:sz w:val="24"/>
          <w:szCs w:val="24"/>
        </w:rPr>
        <w:t>ey</w:t>
      </w:r>
      <w:r w:rsidRPr="001F6FDF">
        <w:rPr>
          <w:rFonts w:ascii="Arial Narrow" w:hAnsi="Arial Narrow"/>
          <w:sz w:val="24"/>
          <w:szCs w:val="24"/>
        </w:rPr>
        <w:t xml:space="preserve"> cannot be claimed as acquisition eligible basis.</w:t>
      </w:r>
      <w:r w:rsidRPr="00A00627">
        <w:rPr>
          <w:rFonts w:ascii="Arial Narrow" w:hAnsi="Arial Narrow"/>
          <w:sz w:val="24"/>
          <w:szCs w:val="24"/>
        </w:rPr>
        <w:t xml:space="preserve"> </w:t>
      </w:r>
      <w:r>
        <w:rPr>
          <w:rFonts w:ascii="Arial Narrow" w:hAnsi="Arial Narrow"/>
          <w:sz w:val="24"/>
          <w:szCs w:val="24"/>
        </w:rPr>
        <w:t>On the other hand, n</w:t>
      </w:r>
      <w:r w:rsidRPr="00861A89">
        <w:rPr>
          <w:rFonts w:ascii="Arial Narrow" w:hAnsi="Arial Narrow"/>
          <w:sz w:val="24"/>
          <w:szCs w:val="24"/>
        </w:rPr>
        <w:t xml:space="preserve">othing that comes after </w:t>
      </w:r>
      <w:r>
        <w:rPr>
          <w:rFonts w:ascii="Arial Narrow" w:hAnsi="Arial Narrow"/>
          <w:sz w:val="24"/>
          <w:szCs w:val="24"/>
        </w:rPr>
        <w:t>T</w:t>
      </w:r>
      <w:r w:rsidRPr="00861A89">
        <w:rPr>
          <w:rFonts w:ascii="Arial Narrow" w:hAnsi="Arial Narrow"/>
          <w:sz w:val="24"/>
          <w:szCs w:val="24"/>
        </w:rPr>
        <w:t xml:space="preserve">otal </w:t>
      </w:r>
      <w:r>
        <w:rPr>
          <w:rFonts w:ascii="Arial Narrow" w:hAnsi="Arial Narrow"/>
          <w:sz w:val="24"/>
          <w:szCs w:val="24"/>
        </w:rPr>
        <w:t>Housing D</w:t>
      </w:r>
      <w:r w:rsidRPr="00861A89">
        <w:rPr>
          <w:rFonts w:ascii="Arial Narrow" w:hAnsi="Arial Narrow"/>
          <w:sz w:val="24"/>
          <w:szCs w:val="24"/>
        </w:rPr>
        <w:t xml:space="preserve">evelopment </w:t>
      </w:r>
      <w:r>
        <w:rPr>
          <w:rFonts w:ascii="Arial Narrow" w:hAnsi="Arial Narrow"/>
          <w:sz w:val="24"/>
          <w:szCs w:val="24"/>
        </w:rPr>
        <w:t>C</w:t>
      </w:r>
      <w:r w:rsidRPr="00861A89">
        <w:rPr>
          <w:rFonts w:ascii="Arial Narrow" w:hAnsi="Arial Narrow"/>
          <w:sz w:val="24"/>
          <w:szCs w:val="24"/>
        </w:rPr>
        <w:t>ost</w:t>
      </w:r>
      <w:r>
        <w:rPr>
          <w:rFonts w:ascii="Arial Narrow" w:hAnsi="Arial Narrow"/>
          <w:sz w:val="24"/>
          <w:szCs w:val="24"/>
        </w:rPr>
        <w:t>s</w:t>
      </w:r>
      <w:r w:rsidRPr="00861A89">
        <w:rPr>
          <w:rFonts w:ascii="Arial Narrow" w:hAnsi="Arial Narrow"/>
          <w:sz w:val="24"/>
          <w:szCs w:val="24"/>
        </w:rPr>
        <w:t xml:space="preserve"> in </w:t>
      </w:r>
      <w:r>
        <w:rPr>
          <w:rFonts w:ascii="Arial Narrow" w:hAnsi="Arial Narrow"/>
          <w:sz w:val="24"/>
          <w:szCs w:val="24"/>
        </w:rPr>
        <w:t>an</w:t>
      </w:r>
      <w:r w:rsidRPr="00861A89">
        <w:rPr>
          <w:rFonts w:ascii="Arial Narrow" w:hAnsi="Arial Narrow"/>
          <w:sz w:val="24"/>
          <w:szCs w:val="24"/>
        </w:rPr>
        <w:t xml:space="preserve"> </w:t>
      </w:r>
      <w:r>
        <w:rPr>
          <w:rFonts w:ascii="Arial Narrow" w:hAnsi="Arial Narrow"/>
          <w:sz w:val="24"/>
          <w:szCs w:val="24"/>
        </w:rPr>
        <w:t>application’s DCS</w:t>
      </w:r>
      <w:r w:rsidRPr="00861A89">
        <w:rPr>
          <w:rFonts w:ascii="Arial Narrow" w:hAnsi="Arial Narrow"/>
          <w:sz w:val="24"/>
          <w:szCs w:val="24"/>
        </w:rPr>
        <w:t xml:space="preserve"> </w:t>
      </w:r>
      <w:r>
        <w:rPr>
          <w:rFonts w:ascii="Arial Narrow" w:hAnsi="Arial Narrow"/>
          <w:sz w:val="24"/>
          <w:szCs w:val="24"/>
        </w:rPr>
        <w:t xml:space="preserve">is a concern of </w:t>
      </w:r>
      <w:r w:rsidRPr="00861A89">
        <w:rPr>
          <w:rFonts w:ascii="Arial Narrow" w:hAnsi="Arial Narrow"/>
          <w:sz w:val="24"/>
          <w:szCs w:val="24"/>
        </w:rPr>
        <w:t>TREB. Therefore, the high cost area adjustment and applicable fr</w:t>
      </w:r>
      <w:r>
        <w:rPr>
          <w:rFonts w:ascii="Arial Narrow" w:hAnsi="Arial Narrow"/>
          <w:sz w:val="24"/>
          <w:szCs w:val="24"/>
        </w:rPr>
        <w:t>action have no bearing on TREB.</w:t>
      </w:r>
    </w:p>
    <w:p w14:paraId="2945D5D9" w14:textId="77777777" w:rsidR="00CA6BF7" w:rsidRPr="00861A89" w:rsidRDefault="00CA6BF7" w:rsidP="00CA6BF7">
      <w:pPr>
        <w:spacing w:before="160" w:after="0" w:line="240" w:lineRule="auto"/>
        <w:jc w:val="both"/>
        <w:rPr>
          <w:rFonts w:ascii="Arial Narrow" w:hAnsi="Arial Narrow"/>
          <w:sz w:val="24"/>
          <w:szCs w:val="24"/>
        </w:rPr>
      </w:pPr>
      <w:r>
        <w:rPr>
          <w:rFonts w:ascii="Arial Narrow" w:hAnsi="Arial Narrow"/>
          <w:sz w:val="24"/>
          <w:szCs w:val="24"/>
        </w:rPr>
        <w:t>When considering TREB with respect to the DC/IB, the evaluation generally should be based on the same side of the DC/IB that REA used to determine the amount of tax credits indicated by the eligible basis calculation. The applicable side can be determined from the bottom line of the DC/IB. I</w:t>
      </w:r>
      <w:r w:rsidRPr="00861A89">
        <w:rPr>
          <w:rFonts w:ascii="Arial Narrow" w:hAnsi="Arial Narrow"/>
          <w:sz w:val="24"/>
          <w:szCs w:val="24"/>
        </w:rPr>
        <w:t xml:space="preserve">f the bottom </w:t>
      </w:r>
      <w:r>
        <w:rPr>
          <w:rFonts w:ascii="Arial Narrow" w:hAnsi="Arial Narrow"/>
          <w:sz w:val="24"/>
          <w:szCs w:val="24"/>
        </w:rPr>
        <w:t>line states,</w:t>
      </w:r>
      <w:r w:rsidRPr="00861A89">
        <w:rPr>
          <w:rFonts w:ascii="Arial Narrow" w:hAnsi="Arial Narrow"/>
          <w:sz w:val="24"/>
          <w:szCs w:val="24"/>
        </w:rPr>
        <w:t xml:space="preserve"> “Applicant’s Uses are</w:t>
      </w:r>
      <w:r>
        <w:rPr>
          <w:rFonts w:ascii="Arial Narrow" w:hAnsi="Arial Narrow"/>
          <w:sz w:val="24"/>
          <w:szCs w:val="24"/>
        </w:rPr>
        <w:t xml:space="preserve"> within 5% of TDHCA Estimate,”</w:t>
      </w:r>
      <w:r w:rsidRPr="00861A89">
        <w:rPr>
          <w:rFonts w:ascii="Arial Narrow" w:hAnsi="Arial Narrow"/>
          <w:sz w:val="24"/>
          <w:szCs w:val="24"/>
        </w:rPr>
        <w:t xml:space="preserve"> the applicant side of the </w:t>
      </w:r>
      <w:r>
        <w:rPr>
          <w:rFonts w:ascii="Arial Narrow" w:hAnsi="Arial Narrow"/>
          <w:sz w:val="24"/>
          <w:szCs w:val="24"/>
        </w:rPr>
        <w:t>DC/IB is applicable.</w:t>
      </w:r>
      <w:r w:rsidRPr="00861A89">
        <w:rPr>
          <w:rFonts w:ascii="Arial Narrow" w:hAnsi="Arial Narrow"/>
          <w:sz w:val="24"/>
          <w:szCs w:val="24"/>
        </w:rPr>
        <w:t xml:space="preserve"> </w:t>
      </w:r>
      <w:r>
        <w:rPr>
          <w:rFonts w:ascii="Arial Narrow" w:hAnsi="Arial Narrow"/>
          <w:sz w:val="24"/>
          <w:szCs w:val="24"/>
        </w:rPr>
        <w:t>If the statement, “Total Housing Development Costs Based on 3rd Party SCR/CNA,” is present at the bottom of the DC/IB, the TDHCA Cost / Basis Items side of the DC/IB is applicable.</w:t>
      </w:r>
      <w:r w:rsidRPr="00861A89">
        <w:rPr>
          <w:rFonts w:ascii="Arial Narrow" w:hAnsi="Arial Narrow"/>
          <w:sz w:val="24"/>
          <w:szCs w:val="24"/>
        </w:rPr>
        <w:t xml:space="preserve"> The side of the </w:t>
      </w:r>
      <w:r>
        <w:rPr>
          <w:rFonts w:ascii="Arial Narrow" w:hAnsi="Arial Narrow"/>
          <w:sz w:val="24"/>
          <w:szCs w:val="24"/>
        </w:rPr>
        <w:t>DC/IB</w:t>
      </w:r>
      <w:r w:rsidRPr="00861A89">
        <w:rPr>
          <w:rFonts w:ascii="Arial Narrow" w:hAnsi="Arial Narrow"/>
          <w:sz w:val="24"/>
          <w:szCs w:val="24"/>
        </w:rPr>
        <w:t xml:space="preserve"> </w:t>
      </w:r>
      <w:r>
        <w:rPr>
          <w:rFonts w:ascii="Arial Narrow" w:hAnsi="Arial Narrow"/>
          <w:sz w:val="24"/>
          <w:szCs w:val="24"/>
        </w:rPr>
        <w:t xml:space="preserve">that is applicable </w:t>
      </w:r>
      <w:r w:rsidRPr="00861A89">
        <w:rPr>
          <w:rFonts w:ascii="Arial Narrow" w:hAnsi="Arial Narrow"/>
          <w:sz w:val="24"/>
          <w:szCs w:val="24"/>
        </w:rPr>
        <w:t xml:space="preserve">can be confirmed on the next page of the underwriting report by working backward from the “Eligible Basis” “Method” amount of “Annual Credits” under “Annual Credit Calculation Based on Applicant Basis” </w:t>
      </w:r>
      <w:r>
        <w:rPr>
          <w:rFonts w:ascii="Arial Narrow" w:hAnsi="Arial Narrow"/>
          <w:sz w:val="24"/>
          <w:szCs w:val="24"/>
        </w:rPr>
        <w:t xml:space="preserve">(or </w:t>
      </w:r>
      <w:r w:rsidRPr="00861A89">
        <w:rPr>
          <w:rFonts w:ascii="Arial Narrow" w:hAnsi="Arial Narrow"/>
          <w:sz w:val="24"/>
          <w:szCs w:val="24"/>
        </w:rPr>
        <w:t xml:space="preserve">“Annual Credit Calculation Based on </w:t>
      </w:r>
      <w:r>
        <w:rPr>
          <w:rFonts w:ascii="Arial Narrow" w:hAnsi="Arial Narrow"/>
          <w:sz w:val="24"/>
          <w:szCs w:val="24"/>
        </w:rPr>
        <w:t>TDHCA</w:t>
      </w:r>
      <w:r w:rsidRPr="00861A89">
        <w:rPr>
          <w:rFonts w:ascii="Arial Narrow" w:hAnsi="Arial Narrow"/>
          <w:sz w:val="24"/>
          <w:szCs w:val="24"/>
        </w:rPr>
        <w:t xml:space="preserve"> Basis”</w:t>
      </w:r>
      <w:r>
        <w:rPr>
          <w:rFonts w:ascii="Arial Narrow" w:hAnsi="Arial Narrow"/>
          <w:sz w:val="24"/>
          <w:szCs w:val="24"/>
        </w:rPr>
        <w:t xml:space="preserve">) </w:t>
      </w:r>
      <w:r w:rsidRPr="00861A89">
        <w:rPr>
          <w:rFonts w:ascii="Arial Narrow" w:hAnsi="Arial Narrow"/>
          <w:sz w:val="24"/>
          <w:szCs w:val="24"/>
        </w:rPr>
        <w:t>in the second table from the top on the left side of the page.</w:t>
      </w:r>
    </w:p>
    <w:p w14:paraId="33004932" w14:textId="39899925" w:rsidR="00651123" w:rsidRDefault="001F5AEC" w:rsidP="001F5AEC">
      <w:pPr>
        <w:spacing w:before="160" w:after="0" w:line="240" w:lineRule="auto"/>
        <w:jc w:val="both"/>
        <w:rPr>
          <w:rFonts w:ascii="Arial Narrow" w:hAnsi="Arial Narrow"/>
          <w:b/>
          <w:sz w:val="24"/>
          <w:szCs w:val="24"/>
        </w:rPr>
      </w:pPr>
      <w:r>
        <w:rPr>
          <w:rFonts w:ascii="Arial Narrow" w:hAnsi="Arial Narrow"/>
          <w:b/>
          <w:sz w:val="24"/>
          <w:szCs w:val="24"/>
          <w:u w:val="single"/>
        </w:rPr>
        <w:t>Multifamily staff’s evaluation of TREB</w:t>
      </w:r>
      <w:r>
        <w:rPr>
          <w:rFonts w:ascii="Arial Narrow" w:hAnsi="Arial Narrow"/>
          <w:sz w:val="24"/>
          <w:szCs w:val="24"/>
        </w:rPr>
        <w:t>:</w:t>
      </w:r>
      <w:r>
        <w:rPr>
          <w:rFonts w:ascii="Arial Narrow" w:hAnsi="Arial Narrow"/>
          <w:b/>
          <w:sz w:val="24"/>
          <w:szCs w:val="24"/>
        </w:rPr>
        <w:t xml:space="preserve"> </w:t>
      </w:r>
      <w:r>
        <w:rPr>
          <w:rFonts w:ascii="Arial Narrow" w:hAnsi="Arial Narrow"/>
          <w:sz w:val="24"/>
          <w:szCs w:val="24"/>
        </w:rPr>
        <w:t>To evaluate the reasonableness of an Owner’s TREB</w:t>
      </w:r>
      <w:r w:rsidR="0092082C">
        <w:rPr>
          <w:rFonts w:ascii="Arial Narrow" w:hAnsi="Arial Narrow"/>
          <w:sz w:val="24"/>
          <w:szCs w:val="24"/>
        </w:rPr>
        <w:t xml:space="preserve"> as stated on the first page of this questionnaire</w:t>
      </w:r>
      <w:r>
        <w:rPr>
          <w:rFonts w:ascii="Arial Narrow" w:hAnsi="Arial Narrow"/>
          <w:sz w:val="24"/>
          <w:szCs w:val="24"/>
        </w:rPr>
        <w:t xml:space="preserve">, staff will look to the applicable side of the DC/IB, as described above, starting with the Total Housing Development Cost (Unadjusted Basis) line of the Total Costs (not EB) column. From the total cost stated on this line, staff will subtract the amounts in the Total Costs column for Off-Sites, Soft Costs, Financing, and Reserves. Then staff will </w:t>
      </w:r>
      <w:r w:rsidRPr="004A3219">
        <w:rPr>
          <w:rFonts w:ascii="Arial Narrow" w:hAnsi="Arial Narrow"/>
          <w:sz w:val="24"/>
          <w:szCs w:val="24"/>
        </w:rPr>
        <w:t xml:space="preserve">add </w:t>
      </w:r>
      <w:r>
        <w:rPr>
          <w:rFonts w:ascii="Arial Narrow" w:hAnsi="Arial Narrow"/>
          <w:sz w:val="24"/>
          <w:szCs w:val="24"/>
        </w:rPr>
        <w:t>the amounts in the Eligible Basis column for Off-Sites, Soft Costs, and Financing. The result of this calculation generally will reflect the sum of the acquisition costs and depreciable costs of development, unaffected by REA’s underwriting limits on EB (e.g., relating to voluntary basis, Contingency, Contractor Fees, Developer Fee, garages/carports/storage that require payment in addition to the base rent, etc.). Staff may choose to use the greater of the Applicant side or TDHCA side land value and closing costs</w:t>
      </w:r>
      <w:r w:rsidR="008843C4">
        <w:rPr>
          <w:rFonts w:ascii="Arial Narrow" w:hAnsi="Arial Narrow"/>
          <w:sz w:val="24"/>
          <w:szCs w:val="24"/>
        </w:rPr>
        <w:t xml:space="preserve"> (depending on the facts of the case under review)</w:t>
      </w:r>
      <w:r>
        <w:rPr>
          <w:rFonts w:ascii="Arial Narrow" w:hAnsi="Arial Narrow"/>
          <w:sz w:val="24"/>
          <w:szCs w:val="24"/>
        </w:rPr>
        <w:t>.</w:t>
      </w:r>
      <w:r w:rsidRPr="00401A23">
        <w:rPr>
          <w:rFonts w:ascii="Arial Narrow" w:hAnsi="Arial Narrow"/>
          <w:b/>
          <w:sz w:val="24"/>
          <w:szCs w:val="24"/>
        </w:rPr>
        <w:t xml:space="preserve"> </w:t>
      </w:r>
      <w:r>
        <w:rPr>
          <w:rFonts w:ascii="Arial Narrow" w:hAnsi="Arial Narrow"/>
          <w:b/>
          <w:sz w:val="24"/>
          <w:szCs w:val="24"/>
        </w:rPr>
        <w:t>Consult your tax advisor about the TREB that you will state in the Carryover Allocation Agreement (CAA) and be prepared to provide authoritative support for your number. A TREB that cannot be supported can invalidate the carryover allocation.</w:t>
      </w:r>
    </w:p>
    <w:p w14:paraId="2D04D117" w14:textId="77777777" w:rsidR="00651123" w:rsidRDefault="00651123">
      <w:pPr>
        <w:spacing w:after="0" w:line="240" w:lineRule="auto"/>
        <w:rPr>
          <w:rFonts w:ascii="Arial Narrow" w:hAnsi="Arial Narrow"/>
          <w:b/>
          <w:sz w:val="24"/>
          <w:szCs w:val="24"/>
        </w:rPr>
      </w:pPr>
      <w:r>
        <w:rPr>
          <w:rFonts w:ascii="Arial Narrow" w:hAnsi="Arial Narrow"/>
          <w:b/>
          <w:sz w:val="24"/>
          <w:szCs w:val="24"/>
        </w:rPr>
        <w:br w:type="page"/>
      </w:r>
    </w:p>
    <w:p w14:paraId="2CD63599" w14:textId="77777777" w:rsidR="00651123" w:rsidRPr="002F2CCF" w:rsidRDefault="00651123" w:rsidP="00651123">
      <w:pPr>
        <w:spacing w:before="160" w:after="0" w:line="240" w:lineRule="auto"/>
        <w:jc w:val="center"/>
        <w:rPr>
          <w:rFonts w:ascii="Arial Narrow" w:hAnsi="Arial Narrow"/>
          <w:b/>
          <w:sz w:val="40"/>
          <w:szCs w:val="40"/>
        </w:rPr>
      </w:pPr>
      <w:r w:rsidRPr="002F2CCF">
        <w:rPr>
          <w:rFonts w:ascii="Arial Narrow" w:hAnsi="Arial Narrow"/>
          <w:b/>
          <w:sz w:val="40"/>
          <w:szCs w:val="40"/>
        </w:rPr>
        <w:lastRenderedPageBreak/>
        <w:t>Regarding Electing to Fix the Applicable Percentage</w:t>
      </w:r>
    </w:p>
    <w:p w14:paraId="30D30B0B" w14:textId="244C06DC" w:rsidR="00705A3C" w:rsidRPr="002F2CCF" w:rsidRDefault="00D23C7F" w:rsidP="003A704B">
      <w:pPr>
        <w:spacing w:before="160" w:after="0" w:line="240" w:lineRule="auto"/>
        <w:jc w:val="both"/>
        <w:rPr>
          <w:rFonts w:ascii="Arial Narrow" w:hAnsi="Arial Narrow"/>
          <w:sz w:val="32"/>
          <w:szCs w:val="32"/>
        </w:rPr>
      </w:pPr>
      <w:r w:rsidRPr="002F2CCF">
        <w:rPr>
          <w:rFonts w:ascii="Arial Narrow" w:hAnsi="Arial Narrow"/>
          <w:b/>
          <w:sz w:val="32"/>
          <w:szCs w:val="32"/>
        </w:rPr>
        <w:t xml:space="preserve">The applicable percentage cannot be fixed by an election unless the applicable percentage </w:t>
      </w:r>
      <w:r w:rsidR="00EB7213" w:rsidRPr="002F2CCF">
        <w:rPr>
          <w:rFonts w:ascii="Arial Narrow" w:hAnsi="Arial Narrow"/>
          <w:b/>
          <w:sz w:val="32"/>
          <w:szCs w:val="32"/>
        </w:rPr>
        <w:t xml:space="preserve">that is published </w:t>
      </w:r>
      <w:r w:rsidRPr="002F2CCF">
        <w:rPr>
          <w:rFonts w:ascii="Arial Narrow" w:hAnsi="Arial Narrow"/>
          <w:b/>
          <w:sz w:val="32"/>
          <w:szCs w:val="32"/>
        </w:rPr>
        <w:t>for the month that TDHCA executes the carryover allocation agreement</w:t>
      </w:r>
      <w:r w:rsidR="00EB7213" w:rsidRPr="002F2CCF">
        <w:rPr>
          <w:rFonts w:ascii="Arial Narrow" w:hAnsi="Arial Narrow"/>
          <w:b/>
          <w:sz w:val="32"/>
          <w:szCs w:val="32"/>
        </w:rPr>
        <w:t xml:space="preserve"> is </w:t>
      </w:r>
      <w:r w:rsidR="005517CF" w:rsidRPr="002F2CCF">
        <w:rPr>
          <w:rFonts w:ascii="Arial Narrow" w:hAnsi="Arial Narrow"/>
          <w:b/>
          <w:sz w:val="32"/>
          <w:szCs w:val="32"/>
        </w:rPr>
        <w:t xml:space="preserve">greater </w:t>
      </w:r>
      <w:r w:rsidR="00EB7213" w:rsidRPr="002F2CCF">
        <w:rPr>
          <w:rFonts w:ascii="Arial Narrow" w:hAnsi="Arial Narrow"/>
          <w:b/>
          <w:sz w:val="32"/>
          <w:szCs w:val="32"/>
        </w:rPr>
        <w:t>than 9% for non-federally subsidized new buildings or 4% for all others</w:t>
      </w:r>
      <w:r w:rsidR="005517CF" w:rsidRPr="002F2CCF">
        <w:rPr>
          <w:rFonts w:ascii="Arial Narrow" w:hAnsi="Arial Narrow"/>
          <w:b/>
          <w:sz w:val="32"/>
          <w:szCs w:val="32"/>
        </w:rPr>
        <w:t>.</w:t>
      </w:r>
      <w:r w:rsidR="005517CF" w:rsidRPr="002F2CCF">
        <w:rPr>
          <w:rFonts w:ascii="Arial Narrow" w:hAnsi="Arial Narrow"/>
          <w:sz w:val="32"/>
          <w:szCs w:val="32"/>
        </w:rPr>
        <w:t xml:space="preserve"> </w:t>
      </w:r>
      <w:r w:rsidR="00FA1EE9">
        <w:rPr>
          <w:rFonts w:ascii="Arial Narrow" w:hAnsi="Arial Narrow"/>
          <w:sz w:val="32"/>
          <w:szCs w:val="32"/>
        </w:rPr>
        <w:t>Section 4</w:t>
      </w:r>
      <w:r w:rsidR="005517CF" w:rsidRPr="002F2CCF">
        <w:rPr>
          <w:rFonts w:ascii="Arial Narrow" w:hAnsi="Arial Narrow"/>
          <w:sz w:val="32"/>
          <w:szCs w:val="32"/>
        </w:rPr>
        <w:t>2(b)(2) mandate</w:t>
      </w:r>
      <w:r w:rsidR="00FA1EE9">
        <w:rPr>
          <w:rFonts w:ascii="Arial Narrow" w:hAnsi="Arial Narrow"/>
          <w:sz w:val="32"/>
          <w:szCs w:val="32"/>
        </w:rPr>
        <w:t>s</w:t>
      </w:r>
      <w:r w:rsidR="005517CF" w:rsidRPr="002F2CCF">
        <w:rPr>
          <w:rFonts w:ascii="Arial Narrow" w:hAnsi="Arial Narrow"/>
          <w:sz w:val="32"/>
          <w:szCs w:val="32"/>
        </w:rPr>
        <w:t xml:space="preserve"> that the applicable percentage for non-federally subsidized new buildings “shall not be less than 9 percent”. </w:t>
      </w:r>
      <w:r w:rsidR="00FA1EE9">
        <w:rPr>
          <w:rFonts w:ascii="Arial Narrow" w:hAnsi="Arial Narrow"/>
          <w:sz w:val="32"/>
          <w:szCs w:val="32"/>
        </w:rPr>
        <w:t xml:space="preserve">Section </w:t>
      </w:r>
      <w:r w:rsidR="005517CF" w:rsidRPr="002F2CCF">
        <w:rPr>
          <w:rFonts w:ascii="Arial Narrow" w:hAnsi="Arial Narrow"/>
          <w:sz w:val="32"/>
          <w:szCs w:val="32"/>
        </w:rPr>
        <w:t>42(b)(3) mandate</w:t>
      </w:r>
      <w:r w:rsidR="00FA1EE9">
        <w:rPr>
          <w:rFonts w:ascii="Arial Narrow" w:hAnsi="Arial Narrow"/>
          <w:sz w:val="32"/>
          <w:szCs w:val="32"/>
        </w:rPr>
        <w:t>s</w:t>
      </w:r>
      <w:r w:rsidR="005517CF" w:rsidRPr="002F2CCF">
        <w:rPr>
          <w:rFonts w:ascii="Arial Narrow" w:hAnsi="Arial Narrow"/>
          <w:sz w:val="32"/>
          <w:szCs w:val="32"/>
        </w:rPr>
        <w:t xml:space="preserve"> that the applicable percentage for buildings not covered by §42(b)(2) “shall not be less than 4 percent”. </w:t>
      </w:r>
      <w:r w:rsidR="00F91F8B" w:rsidRPr="002F2CCF">
        <w:rPr>
          <w:rFonts w:ascii="Arial Narrow" w:hAnsi="Arial Narrow"/>
          <w:sz w:val="32"/>
          <w:szCs w:val="32"/>
        </w:rPr>
        <w:t>W</w:t>
      </w:r>
      <w:r w:rsidR="000C0BF2" w:rsidRPr="002F2CCF">
        <w:rPr>
          <w:rFonts w:ascii="Arial Narrow" w:hAnsi="Arial Narrow"/>
          <w:sz w:val="32"/>
          <w:szCs w:val="32"/>
        </w:rPr>
        <w:t xml:space="preserve">hether an election is made to fix the applicable percentage </w:t>
      </w:r>
      <w:r w:rsidR="00F91F8B" w:rsidRPr="002F2CCF">
        <w:rPr>
          <w:rFonts w:ascii="Arial Narrow" w:hAnsi="Arial Narrow"/>
          <w:sz w:val="32"/>
          <w:szCs w:val="32"/>
        </w:rPr>
        <w:t xml:space="preserve">in the month that TDHCA executes the </w:t>
      </w:r>
      <w:r w:rsidR="000C0BF2" w:rsidRPr="002F2CCF">
        <w:rPr>
          <w:rFonts w:ascii="Arial Narrow" w:hAnsi="Arial Narrow"/>
          <w:sz w:val="32"/>
          <w:szCs w:val="32"/>
        </w:rPr>
        <w:t xml:space="preserve">carryover </w:t>
      </w:r>
      <w:r w:rsidR="00F91F8B" w:rsidRPr="002F2CCF">
        <w:rPr>
          <w:rFonts w:ascii="Arial Narrow" w:hAnsi="Arial Narrow"/>
          <w:sz w:val="32"/>
          <w:szCs w:val="32"/>
        </w:rPr>
        <w:t xml:space="preserve">allocation agreement (CAA) </w:t>
      </w:r>
      <w:r w:rsidR="000C0BF2" w:rsidRPr="002F2CCF">
        <w:rPr>
          <w:rFonts w:ascii="Arial Narrow" w:hAnsi="Arial Narrow"/>
          <w:sz w:val="32"/>
          <w:szCs w:val="32"/>
        </w:rPr>
        <w:t>or not, the 9% and 4% minimums set by §42(b)(2) and §42(b)(3) appl</w:t>
      </w:r>
      <w:r w:rsidR="00F91F8B" w:rsidRPr="002F2CCF">
        <w:rPr>
          <w:rFonts w:ascii="Arial Narrow" w:hAnsi="Arial Narrow"/>
          <w:sz w:val="32"/>
          <w:szCs w:val="32"/>
        </w:rPr>
        <w:t>y</w:t>
      </w:r>
      <w:r w:rsidR="000C0BF2" w:rsidRPr="002F2CCF">
        <w:rPr>
          <w:rFonts w:ascii="Arial Narrow" w:hAnsi="Arial Narrow"/>
          <w:sz w:val="32"/>
          <w:szCs w:val="32"/>
        </w:rPr>
        <w:t xml:space="preserve">. However, </w:t>
      </w:r>
      <w:r w:rsidR="00F91F8B" w:rsidRPr="002F2CCF">
        <w:rPr>
          <w:rFonts w:ascii="Arial Narrow" w:hAnsi="Arial Narrow"/>
          <w:sz w:val="32"/>
          <w:szCs w:val="32"/>
        </w:rPr>
        <w:t xml:space="preserve">under §42(a)(1)(A) “an </w:t>
      </w:r>
      <w:r w:rsidR="000C0BF2" w:rsidRPr="002F2CCF">
        <w:rPr>
          <w:rFonts w:ascii="Arial Narrow" w:hAnsi="Arial Narrow"/>
          <w:sz w:val="32"/>
          <w:szCs w:val="32"/>
        </w:rPr>
        <w:t>e</w:t>
      </w:r>
      <w:r w:rsidR="00F91F8B" w:rsidRPr="002F2CCF">
        <w:rPr>
          <w:rFonts w:ascii="Arial Narrow" w:hAnsi="Arial Narrow"/>
          <w:sz w:val="32"/>
          <w:szCs w:val="32"/>
        </w:rPr>
        <w:t xml:space="preserve">lection, once made, shall be </w:t>
      </w:r>
      <w:r w:rsidR="00206C97" w:rsidRPr="002F2CCF">
        <w:rPr>
          <w:rFonts w:ascii="Arial Narrow" w:hAnsi="Arial Narrow"/>
          <w:sz w:val="32"/>
          <w:szCs w:val="32"/>
        </w:rPr>
        <w:t>irrevocable</w:t>
      </w:r>
      <w:r w:rsidR="00F91F8B" w:rsidRPr="002F2CCF">
        <w:rPr>
          <w:rFonts w:ascii="Arial Narrow" w:hAnsi="Arial Narrow"/>
          <w:sz w:val="32"/>
          <w:szCs w:val="32"/>
        </w:rPr>
        <w:t>”</w:t>
      </w:r>
      <w:r w:rsidR="00206C97" w:rsidRPr="002F2CCF">
        <w:rPr>
          <w:rFonts w:ascii="Arial Narrow" w:hAnsi="Arial Narrow"/>
          <w:sz w:val="32"/>
          <w:szCs w:val="32"/>
        </w:rPr>
        <w:t xml:space="preserve">. </w:t>
      </w:r>
      <w:r w:rsidR="00F91F8B" w:rsidRPr="002F2CCF">
        <w:rPr>
          <w:rFonts w:ascii="Arial Narrow" w:hAnsi="Arial Narrow"/>
          <w:sz w:val="32"/>
          <w:szCs w:val="32"/>
        </w:rPr>
        <w:t xml:space="preserve">Therefore, </w:t>
      </w:r>
      <w:r w:rsidR="004927D0" w:rsidRPr="002F2CCF">
        <w:rPr>
          <w:rFonts w:ascii="Arial Narrow" w:hAnsi="Arial Narrow"/>
          <w:sz w:val="32"/>
          <w:szCs w:val="32"/>
        </w:rPr>
        <w:t xml:space="preserve">an election </w:t>
      </w:r>
      <w:r w:rsidR="00FA1EE9">
        <w:rPr>
          <w:rFonts w:ascii="Arial Narrow" w:hAnsi="Arial Narrow"/>
          <w:sz w:val="32"/>
          <w:szCs w:val="32"/>
        </w:rPr>
        <w:t xml:space="preserve">in the </w:t>
      </w:r>
      <w:r w:rsidR="004927D0" w:rsidRPr="002F2CCF">
        <w:rPr>
          <w:rFonts w:ascii="Arial Narrow" w:hAnsi="Arial Narrow"/>
          <w:sz w:val="32"/>
          <w:szCs w:val="32"/>
        </w:rPr>
        <w:t xml:space="preserve">CAA, </w:t>
      </w:r>
      <w:r w:rsidR="00F91F8B" w:rsidRPr="002F2CCF">
        <w:rPr>
          <w:rFonts w:ascii="Arial Narrow" w:hAnsi="Arial Narrow"/>
          <w:sz w:val="32"/>
          <w:szCs w:val="32"/>
        </w:rPr>
        <w:t xml:space="preserve">might </w:t>
      </w:r>
      <w:r w:rsidR="00206C97" w:rsidRPr="002F2CCF">
        <w:rPr>
          <w:rFonts w:ascii="Arial Narrow" w:hAnsi="Arial Narrow"/>
          <w:sz w:val="32"/>
          <w:szCs w:val="32"/>
        </w:rPr>
        <w:t>preclude us</w:t>
      </w:r>
      <w:r w:rsidR="00FA1EE9">
        <w:rPr>
          <w:rFonts w:ascii="Arial Narrow" w:hAnsi="Arial Narrow"/>
          <w:sz w:val="32"/>
          <w:szCs w:val="32"/>
        </w:rPr>
        <w:t xml:space="preserve">ing </w:t>
      </w:r>
      <w:r w:rsidR="00206C97" w:rsidRPr="002F2CCF">
        <w:rPr>
          <w:rFonts w:ascii="Arial Narrow" w:hAnsi="Arial Narrow"/>
          <w:sz w:val="32"/>
          <w:szCs w:val="32"/>
        </w:rPr>
        <w:t xml:space="preserve">the applicable percentage that </w:t>
      </w:r>
      <w:r w:rsidR="000C0BF2" w:rsidRPr="002F2CCF">
        <w:rPr>
          <w:rFonts w:ascii="Arial Narrow" w:hAnsi="Arial Narrow"/>
          <w:sz w:val="32"/>
          <w:szCs w:val="32"/>
        </w:rPr>
        <w:t>will be</w:t>
      </w:r>
      <w:r w:rsidR="00206C97" w:rsidRPr="002F2CCF">
        <w:rPr>
          <w:rFonts w:ascii="Arial Narrow" w:hAnsi="Arial Narrow"/>
          <w:sz w:val="32"/>
          <w:szCs w:val="32"/>
        </w:rPr>
        <w:t xml:space="preserve"> effective in the month of placement in service. </w:t>
      </w:r>
      <w:r w:rsidR="000C0BF2" w:rsidRPr="002F2CCF">
        <w:rPr>
          <w:rFonts w:ascii="Arial Narrow" w:hAnsi="Arial Narrow"/>
          <w:sz w:val="32"/>
          <w:szCs w:val="32"/>
        </w:rPr>
        <w:t xml:space="preserve">Applicable percentages are published </w:t>
      </w:r>
      <w:r w:rsidR="00F91F8B" w:rsidRPr="002F2CCF">
        <w:rPr>
          <w:rFonts w:ascii="Arial Narrow" w:hAnsi="Arial Narrow"/>
          <w:sz w:val="32"/>
          <w:szCs w:val="32"/>
        </w:rPr>
        <w:t>a</w:t>
      </w:r>
      <w:r w:rsidR="000C0BF2" w:rsidRPr="002F2CCF">
        <w:rPr>
          <w:rFonts w:ascii="Arial Narrow" w:hAnsi="Arial Narrow"/>
          <w:sz w:val="32"/>
          <w:szCs w:val="32"/>
        </w:rPr>
        <w:t xml:space="preserve">s Revenue Rulings </w:t>
      </w:r>
      <w:r w:rsidR="00F91F8B" w:rsidRPr="002F2CCF">
        <w:rPr>
          <w:rFonts w:ascii="Arial Narrow" w:hAnsi="Arial Narrow"/>
          <w:sz w:val="32"/>
          <w:szCs w:val="32"/>
        </w:rPr>
        <w:t>late in</w:t>
      </w:r>
      <w:r w:rsidR="000C0BF2" w:rsidRPr="002F2CCF">
        <w:rPr>
          <w:rFonts w:ascii="Arial Narrow" w:hAnsi="Arial Narrow"/>
          <w:sz w:val="32"/>
          <w:szCs w:val="32"/>
        </w:rPr>
        <w:t xml:space="preserve"> the month that precedes the month for which the published rates are effective. </w:t>
      </w:r>
      <w:r w:rsidR="00206C97" w:rsidRPr="002F2CCF">
        <w:rPr>
          <w:rFonts w:ascii="Arial Narrow" w:hAnsi="Arial Narrow"/>
          <w:sz w:val="32"/>
          <w:szCs w:val="32"/>
        </w:rPr>
        <w:t xml:space="preserve">CAAs are typically executed </w:t>
      </w:r>
      <w:r w:rsidR="000C0BF2" w:rsidRPr="002F2CCF">
        <w:rPr>
          <w:rFonts w:ascii="Arial Narrow" w:hAnsi="Arial Narrow"/>
          <w:sz w:val="32"/>
          <w:szCs w:val="32"/>
        </w:rPr>
        <w:t xml:space="preserve">by TDHCA </w:t>
      </w:r>
      <w:r w:rsidR="00206C97" w:rsidRPr="002F2CCF">
        <w:rPr>
          <w:rFonts w:ascii="Arial Narrow" w:hAnsi="Arial Narrow"/>
          <w:sz w:val="32"/>
          <w:szCs w:val="32"/>
        </w:rPr>
        <w:t>in December.</w:t>
      </w:r>
      <w:r w:rsidR="00236FDA" w:rsidRPr="002F2CCF">
        <w:rPr>
          <w:rFonts w:ascii="Arial Narrow" w:hAnsi="Arial Narrow"/>
          <w:sz w:val="32"/>
          <w:szCs w:val="32"/>
        </w:rPr>
        <w:t xml:space="preserve"> </w:t>
      </w:r>
    </w:p>
    <w:p w14:paraId="2B5B8462" w14:textId="77777777" w:rsidR="00651123" w:rsidRPr="002F2CCF" w:rsidRDefault="00651123" w:rsidP="003A704B">
      <w:pPr>
        <w:spacing w:before="160" w:after="0" w:line="240" w:lineRule="auto"/>
        <w:jc w:val="both"/>
        <w:rPr>
          <w:rFonts w:ascii="Arial Narrow" w:hAnsi="Arial Narrow"/>
          <w:sz w:val="32"/>
          <w:szCs w:val="32"/>
        </w:rPr>
      </w:pPr>
      <w:r w:rsidRPr="002F2CCF">
        <w:rPr>
          <w:rFonts w:ascii="Arial Narrow" w:hAnsi="Arial Narrow"/>
          <w:sz w:val="32"/>
          <w:szCs w:val="32"/>
        </w:rPr>
        <w:t xml:space="preserve">SPECIAL RULES FOR ELECTIONS: Elections </w:t>
      </w:r>
      <w:r w:rsidR="004726B0" w:rsidRPr="002F2CCF">
        <w:rPr>
          <w:rFonts w:ascii="Arial Narrow" w:hAnsi="Arial Narrow"/>
          <w:sz w:val="32"/>
          <w:szCs w:val="32"/>
        </w:rPr>
        <w:t xml:space="preserve">in the CAA </w:t>
      </w:r>
      <w:r w:rsidRPr="002F2CCF">
        <w:rPr>
          <w:rFonts w:ascii="Arial Narrow" w:hAnsi="Arial Narrow"/>
          <w:sz w:val="32"/>
          <w:szCs w:val="32"/>
        </w:rPr>
        <w:t>require that the owner and the Department</w:t>
      </w:r>
      <w:r w:rsidR="003A704B" w:rsidRPr="002F2CCF">
        <w:rPr>
          <w:rFonts w:ascii="Arial Narrow" w:hAnsi="Arial Narrow"/>
          <w:sz w:val="32"/>
          <w:szCs w:val="32"/>
        </w:rPr>
        <w:t xml:space="preserve"> </w:t>
      </w:r>
      <w:r w:rsidR="00333D90" w:rsidRPr="002F2CCF">
        <w:rPr>
          <w:rFonts w:ascii="Arial Narrow" w:hAnsi="Arial Narrow"/>
          <w:sz w:val="32"/>
          <w:szCs w:val="32"/>
        </w:rPr>
        <w:t xml:space="preserve">execute and </w:t>
      </w:r>
      <w:r w:rsidR="004726B0" w:rsidRPr="002F2CCF">
        <w:rPr>
          <w:rFonts w:ascii="Arial Narrow" w:hAnsi="Arial Narrow"/>
          <w:b/>
          <w:sz w:val="32"/>
          <w:szCs w:val="32"/>
        </w:rPr>
        <w:t>notarize</w:t>
      </w:r>
      <w:r w:rsidRPr="002F2CCF">
        <w:rPr>
          <w:rFonts w:ascii="Arial Narrow" w:hAnsi="Arial Narrow"/>
          <w:sz w:val="32"/>
          <w:szCs w:val="32"/>
        </w:rPr>
        <w:t xml:space="preserve"> the CAA</w:t>
      </w:r>
      <w:r w:rsidR="004726B0" w:rsidRPr="002F2CCF">
        <w:rPr>
          <w:rFonts w:ascii="Arial Narrow" w:hAnsi="Arial Narrow"/>
          <w:sz w:val="32"/>
          <w:szCs w:val="32"/>
        </w:rPr>
        <w:t xml:space="preserve"> </w:t>
      </w:r>
      <w:r w:rsidRPr="002F2CCF">
        <w:rPr>
          <w:rFonts w:ascii="Arial Narrow" w:hAnsi="Arial Narrow"/>
          <w:sz w:val="32"/>
          <w:szCs w:val="32"/>
        </w:rPr>
        <w:t>in the same month</w:t>
      </w:r>
      <w:r w:rsidR="00333D90" w:rsidRPr="002F2CCF">
        <w:rPr>
          <w:rFonts w:ascii="Arial Narrow" w:hAnsi="Arial Narrow"/>
          <w:sz w:val="32"/>
          <w:szCs w:val="32"/>
        </w:rPr>
        <w:t>. Typically</w:t>
      </w:r>
      <w:r w:rsidR="004726B0" w:rsidRPr="002F2CCF">
        <w:rPr>
          <w:rFonts w:ascii="Arial Narrow" w:hAnsi="Arial Narrow"/>
          <w:sz w:val="32"/>
          <w:szCs w:val="32"/>
        </w:rPr>
        <w:t xml:space="preserve">, </w:t>
      </w:r>
      <w:r w:rsidR="002F2CCF">
        <w:rPr>
          <w:rFonts w:ascii="Arial Narrow" w:hAnsi="Arial Narrow"/>
          <w:sz w:val="32"/>
          <w:szCs w:val="32"/>
        </w:rPr>
        <w:t xml:space="preserve">the requirements of </w:t>
      </w:r>
      <w:r w:rsidR="00333D90" w:rsidRPr="002F2CCF">
        <w:rPr>
          <w:rFonts w:ascii="Arial Narrow" w:hAnsi="Arial Narrow"/>
          <w:sz w:val="32"/>
          <w:szCs w:val="32"/>
        </w:rPr>
        <w:t xml:space="preserve">staff review of the commitment and carryover packages mean that the CAA will be executed in </w:t>
      </w:r>
      <w:r w:rsidR="004726B0" w:rsidRPr="002F2CCF">
        <w:rPr>
          <w:rFonts w:ascii="Arial Narrow" w:hAnsi="Arial Narrow"/>
          <w:sz w:val="32"/>
          <w:szCs w:val="32"/>
        </w:rPr>
        <w:t>December</w:t>
      </w:r>
      <w:r w:rsidRPr="002F2CCF">
        <w:rPr>
          <w:rFonts w:ascii="Arial Narrow" w:hAnsi="Arial Narrow"/>
          <w:sz w:val="32"/>
          <w:szCs w:val="32"/>
        </w:rPr>
        <w:t>. Th</w:t>
      </w:r>
      <w:r w:rsidR="00333D90" w:rsidRPr="002F2CCF">
        <w:rPr>
          <w:rFonts w:ascii="Arial Narrow" w:hAnsi="Arial Narrow"/>
          <w:sz w:val="32"/>
          <w:szCs w:val="32"/>
        </w:rPr>
        <w:t>is</w:t>
      </w:r>
      <w:r w:rsidR="003A704B" w:rsidRPr="002F2CCF">
        <w:rPr>
          <w:rFonts w:ascii="Arial Narrow" w:hAnsi="Arial Narrow"/>
          <w:sz w:val="32"/>
          <w:szCs w:val="32"/>
        </w:rPr>
        <w:t xml:space="preserve"> </w:t>
      </w:r>
      <w:r w:rsidRPr="002F2CCF">
        <w:rPr>
          <w:rFonts w:ascii="Arial Narrow" w:hAnsi="Arial Narrow"/>
          <w:sz w:val="32"/>
          <w:szCs w:val="32"/>
        </w:rPr>
        <w:t>mean</w:t>
      </w:r>
      <w:r w:rsidR="00333D90" w:rsidRPr="002F2CCF">
        <w:rPr>
          <w:rFonts w:ascii="Arial Narrow" w:hAnsi="Arial Narrow"/>
          <w:sz w:val="32"/>
          <w:szCs w:val="32"/>
        </w:rPr>
        <w:t>s</w:t>
      </w:r>
      <w:r w:rsidRPr="002F2CCF">
        <w:rPr>
          <w:rFonts w:ascii="Arial Narrow" w:hAnsi="Arial Narrow"/>
          <w:sz w:val="32"/>
          <w:szCs w:val="32"/>
        </w:rPr>
        <w:t xml:space="preserve"> that </w:t>
      </w:r>
      <w:r w:rsidR="00A90D08" w:rsidRPr="002F2CCF">
        <w:rPr>
          <w:rFonts w:ascii="Arial Narrow" w:hAnsi="Arial Narrow"/>
          <w:sz w:val="32"/>
          <w:szCs w:val="32"/>
        </w:rPr>
        <w:t xml:space="preserve">if an election to fix the applicable percentage is </w:t>
      </w:r>
      <w:r w:rsidR="00432FCF" w:rsidRPr="002F2CCF">
        <w:rPr>
          <w:rFonts w:ascii="Arial Narrow" w:hAnsi="Arial Narrow"/>
          <w:sz w:val="32"/>
          <w:szCs w:val="32"/>
        </w:rPr>
        <w:t xml:space="preserve">to be </w:t>
      </w:r>
      <w:r w:rsidR="00A90D08" w:rsidRPr="002F2CCF">
        <w:rPr>
          <w:rFonts w:ascii="Arial Narrow" w:hAnsi="Arial Narrow"/>
          <w:sz w:val="32"/>
          <w:szCs w:val="32"/>
        </w:rPr>
        <w:t xml:space="preserve">made, </w:t>
      </w:r>
      <w:r w:rsidR="00AA5590" w:rsidRPr="002F2CCF">
        <w:rPr>
          <w:rFonts w:ascii="Arial Narrow" w:hAnsi="Arial Narrow"/>
          <w:sz w:val="32"/>
          <w:szCs w:val="32"/>
        </w:rPr>
        <w:t xml:space="preserve">a CAA containing an “X” in the election box and a block for notary acknowledgement </w:t>
      </w:r>
      <w:r w:rsidRPr="002F2CCF">
        <w:rPr>
          <w:rFonts w:ascii="Arial Narrow" w:hAnsi="Arial Narrow"/>
          <w:sz w:val="32"/>
          <w:szCs w:val="32"/>
        </w:rPr>
        <w:t xml:space="preserve">must be </w:t>
      </w:r>
      <w:r w:rsidR="00AA5590" w:rsidRPr="002F2CCF">
        <w:rPr>
          <w:rFonts w:ascii="Arial Narrow" w:hAnsi="Arial Narrow"/>
          <w:sz w:val="32"/>
          <w:szCs w:val="32"/>
        </w:rPr>
        <w:t>requested from the Department</w:t>
      </w:r>
      <w:r w:rsidR="004726B0" w:rsidRPr="002F2CCF">
        <w:rPr>
          <w:rFonts w:ascii="Arial Narrow" w:hAnsi="Arial Narrow"/>
          <w:sz w:val="32"/>
          <w:szCs w:val="32"/>
        </w:rPr>
        <w:t xml:space="preserve"> in time for all necessary actions to be performed</w:t>
      </w:r>
      <w:r w:rsidR="00AA5590" w:rsidRPr="002F2CCF">
        <w:rPr>
          <w:rFonts w:ascii="Arial Narrow" w:hAnsi="Arial Narrow"/>
          <w:sz w:val="32"/>
          <w:szCs w:val="32"/>
        </w:rPr>
        <w:t xml:space="preserve">. The CAA bearing the election and notary acknowledgement must be printed </w:t>
      </w:r>
      <w:r w:rsidR="00AA5590" w:rsidRPr="002F2CCF">
        <w:rPr>
          <w:rFonts w:ascii="Arial Narrow" w:hAnsi="Arial Narrow"/>
          <w:sz w:val="32"/>
          <w:szCs w:val="32"/>
          <w:u w:val="single"/>
        </w:rPr>
        <w:t>single-sided</w:t>
      </w:r>
      <w:r w:rsidR="00AA5590" w:rsidRPr="002F2CCF">
        <w:rPr>
          <w:rFonts w:ascii="Arial Narrow" w:hAnsi="Arial Narrow"/>
          <w:sz w:val="32"/>
          <w:szCs w:val="32"/>
        </w:rPr>
        <w:t xml:space="preserve"> on paper, wet-signed by the owner and notary, and the original, wet-signed, paper document must be </w:t>
      </w:r>
      <w:r w:rsidR="00333D90" w:rsidRPr="002F2CCF">
        <w:rPr>
          <w:rFonts w:ascii="Arial Narrow" w:hAnsi="Arial Narrow"/>
          <w:sz w:val="32"/>
          <w:szCs w:val="32"/>
        </w:rPr>
        <w:t xml:space="preserve">physically </w:t>
      </w:r>
      <w:r w:rsidR="00AA5590" w:rsidRPr="002F2CCF">
        <w:rPr>
          <w:rFonts w:ascii="Arial Narrow" w:hAnsi="Arial Narrow"/>
          <w:sz w:val="32"/>
          <w:szCs w:val="32"/>
        </w:rPr>
        <w:t xml:space="preserve">delivered to the Department’s Multifamily Finance Division no later than the second week of December so that the Department can execute and notarize the CAA by December 31. </w:t>
      </w:r>
      <w:r w:rsidR="00823B67" w:rsidRPr="002F2CCF">
        <w:rPr>
          <w:rFonts w:ascii="Arial Narrow" w:hAnsi="Arial Narrow"/>
          <w:sz w:val="32"/>
          <w:szCs w:val="32"/>
        </w:rPr>
        <w:t xml:space="preserve">If the December 31 deadline is not met, the allocation will be invalid. </w:t>
      </w:r>
      <w:r w:rsidRPr="002F2CCF">
        <w:rPr>
          <w:rFonts w:ascii="Arial Narrow" w:hAnsi="Arial Narrow"/>
          <w:sz w:val="32"/>
          <w:szCs w:val="32"/>
        </w:rPr>
        <w:t>[See CFR §1.42-8(a)(1)(v) and §</w:t>
      </w:r>
      <w:r w:rsidR="00C41A36" w:rsidRPr="002F2CCF">
        <w:rPr>
          <w:rFonts w:ascii="Arial Narrow" w:hAnsi="Arial Narrow"/>
          <w:sz w:val="32"/>
          <w:szCs w:val="32"/>
        </w:rPr>
        <w:t>1.42-8(a)(3)(v)].</w:t>
      </w:r>
    </w:p>
    <w:sectPr w:rsidR="00651123" w:rsidRPr="002F2CCF" w:rsidSect="00861A8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225"/>
    <w:multiLevelType w:val="hybridMultilevel"/>
    <w:tmpl w:val="C25498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521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USDPRHnOY9NNwvPy6WLyWaiIwpEFOB9qhOKYYRTrT4bAbj1fr9MrGQJLrD9VSRNIECKEUiuDSx7XakkdNmRBA==" w:salt="bvU/mHb+HmJjfBSf6RTm7g=="/>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BE"/>
    <w:rsid w:val="00002CC6"/>
    <w:rsid w:val="00011884"/>
    <w:rsid w:val="000133F7"/>
    <w:rsid w:val="00014BAF"/>
    <w:rsid w:val="0003024D"/>
    <w:rsid w:val="000317EF"/>
    <w:rsid w:val="00034E18"/>
    <w:rsid w:val="00040429"/>
    <w:rsid w:val="000409D4"/>
    <w:rsid w:val="00042978"/>
    <w:rsid w:val="000514C5"/>
    <w:rsid w:val="0007704D"/>
    <w:rsid w:val="00092358"/>
    <w:rsid w:val="000A1E21"/>
    <w:rsid w:val="000A2682"/>
    <w:rsid w:val="000A4112"/>
    <w:rsid w:val="000B7B1E"/>
    <w:rsid w:val="000C0BF2"/>
    <w:rsid w:val="000C1153"/>
    <w:rsid w:val="000F301E"/>
    <w:rsid w:val="000F3723"/>
    <w:rsid w:val="000F4F71"/>
    <w:rsid w:val="001041A2"/>
    <w:rsid w:val="00104E4E"/>
    <w:rsid w:val="0011604A"/>
    <w:rsid w:val="001164C8"/>
    <w:rsid w:val="00117E3D"/>
    <w:rsid w:val="00125DD7"/>
    <w:rsid w:val="00126349"/>
    <w:rsid w:val="001422A8"/>
    <w:rsid w:val="00153178"/>
    <w:rsid w:val="001535BB"/>
    <w:rsid w:val="00165567"/>
    <w:rsid w:val="001734DA"/>
    <w:rsid w:val="00183BDF"/>
    <w:rsid w:val="001B176B"/>
    <w:rsid w:val="001B3191"/>
    <w:rsid w:val="001B5EF0"/>
    <w:rsid w:val="001C32A8"/>
    <w:rsid w:val="001C449C"/>
    <w:rsid w:val="001C61CE"/>
    <w:rsid w:val="001C66C9"/>
    <w:rsid w:val="001D67BE"/>
    <w:rsid w:val="001E1E2D"/>
    <w:rsid w:val="001E3268"/>
    <w:rsid w:val="001E7D24"/>
    <w:rsid w:val="001F5AEC"/>
    <w:rsid w:val="001F668C"/>
    <w:rsid w:val="002012DC"/>
    <w:rsid w:val="002019B0"/>
    <w:rsid w:val="00206506"/>
    <w:rsid w:val="00206C97"/>
    <w:rsid w:val="00211980"/>
    <w:rsid w:val="00212A1C"/>
    <w:rsid w:val="002209D6"/>
    <w:rsid w:val="002243AE"/>
    <w:rsid w:val="0023327A"/>
    <w:rsid w:val="00236FDA"/>
    <w:rsid w:val="0025598F"/>
    <w:rsid w:val="002571E7"/>
    <w:rsid w:val="0025732A"/>
    <w:rsid w:val="00263107"/>
    <w:rsid w:val="00274047"/>
    <w:rsid w:val="00274D90"/>
    <w:rsid w:val="00275F36"/>
    <w:rsid w:val="00280B39"/>
    <w:rsid w:val="002858B4"/>
    <w:rsid w:val="00285D3A"/>
    <w:rsid w:val="00291DB9"/>
    <w:rsid w:val="00297F89"/>
    <w:rsid w:val="002B60DE"/>
    <w:rsid w:val="002C4233"/>
    <w:rsid w:val="002D4E09"/>
    <w:rsid w:val="002E4190"/>
    <w:rsid w:val="002E41FF"/>
    <w:rsid w:val="002E56FD"/>
    <w:rsid w:val="002E6959"/>
    <w:rsid w:val="002F2CCF"/>
    <w:rsid w:val="00304865"/>
    <w:rsid w:val="003176EE"/>
    <w:rsid w:val="00333D90"/>
    <w:rsid w:val="00335257"/>
    <w:rsid w:val="00335EFD"/>
    <w:rsid w:val="003412CB"/>
    <w:rsid w:val="003453F4"/>
    <w:rsid w:val="00347B93"/>
    <w:rsid w:val="003556D6"/>
    <w:rsid w:val="003564DA"/>
    <w:rsid w:val="00375CBB"/>
    <w:rsid w:val="003775A1"/>
    <w:rsid w:val="00390C94"/>
    <w:rsid w:val="00392702"/>
    <w:rsid w:val="003A63A6"/>
    <w:rsid w:val="003A704B"/>
    <w:rsid w:val="003B1A0A"/>
    <w:rsid w:val="003C007B"/>
    <w:rsid w:val="003C430B"/>
    <w:rsid w:val="003C6852"/>
    <w:rsid w:val="003C7AAD"/>
    <w:rsid w:val="003D4C47"/>
    <w:rsid w:val="003E70FF"/>
    <w:rsid w:val="003F2ED6"/>
    <w:rsid w:val="003F7ABB"/>
    <w:rsid w:val="00403BEE"/>
    <w:rsid w:val="0042300A"/>
    <w:rsid w:val="00430EA1"/>
    <w:rsid w:val="00432FCF"/>
    <w:rsid w:val="004606DA"/>
    <w:rsid w:val="00460EC2"/>
    <w:rsid w:val="004726B0"/>
    <w:rsid w:val="004927D0"/>
    <w:rsid w:val="0049321D"/>
    <w:rsid w:val="004A3BAB"/>
    <w:rsid w:val="004A4DE7"/>
    <w:rsid w:val="004A608C"/>
    <w:rsid w:val="004B1D87"/>
    <w:rsid w:val="004B53B8"/>
    <w:rsid w:val="004B7DB2"/>
    <w:rsid w:val="004C4505"/>
    <w:rsid w:val="004D7498"/>
    <w:rsid w:val="004E3388"/>
    <w:rsid w:val="004E5CDD"/>
    <w:rsid w:val="004F2568"/>
    <w:rsid w:val="00504A00"/>
    <w:rsid w:val="0050589A"/>
    <w:rsid w:val="005148F3"/>
    <w:rsid w:val="005172E7"/>
    <w:rsid w:val="00537947"/>
    <w:rsid w:val="00540FCE"/>
    <w:rsid w:val="005501B7"/>
    <w:rsid w:val="00550C59"/>
    <w:rsid w:val="005517CF"/>
    <w:rsid w:val="005524D3"/>
    <w:rsid w:val="0055431D"/>
    <w:rsid w:val="00555469"/>
    <w:rsid w:val="005557F6"/>
    <w:rsid w:val="00557958"/>
    <w:rsid w:val="00571D08"/>
    <w:rsid w:val="0058008A"/>
    <w:rsid w:val="00580C82"/>
    <w:rsid w:val="00584DB4"/>
    <w:rsid w:val="005867EB"/>
    <w:rsid w:val="005A4809"/>
    <w:rsid w:val="005A6D45"/>
    <w:rsid w:val="005B47D0"/>
    <w:rsid w:val="005C3395"/>
    <w:rsid w:val="005C4833"/>
    <w:rsid w:val="005D03F6"/>
    <w:rsid w:val="005E0926"/>
    <w:rsid w:val="005E164B"/>
    <w:rsid w:val="005E4A59"/>
    <w:rsid w:val="005E532B"/>
    <w:rsid w:val="005E7A5C"/>
    <w:rsid w:val="00600922"/>
    <w:rsid w:val="006120EF"/>
    <w:rsid w:val="006122B9"/>
    <w:rsid w:val="00631E7C"/>
    <w:rsid w:val="00635880"/>
    <w:rsid w:val="00643799"/>
    <w:rsid w:val="00651123"/>
    <w:rsid w:val="0065221A"/>
    <w:rsid w:val="0066111C"/>
    <w:rsid w:val="00684B9E"/>
    <w:rsid w:val="00686D6E"/>
    <w:rsid w:val="006A0C64"/>
    <w:rsid w:val="006C1A5D"/>
    <w:rsid w:val="006D001E"/>
    <w:rsid w:val="006D4544"/>
    <w:rsid w:val="006D6C2D"/>
    <w:rsid w:val="006F4B88"/>
    <w:rsid w:val="006F75AC"/>
    <w:rsid w:val="006F7648"/>
    <w:rsid w:val="00700A04"/>
    <w:rsid w:val="00702E2D"/>
    <w:rsid w:val="00705A3C"/>
    <w:rsid w:val="00705F41"/>
    <w:rsid w:val="00711882"/>
    <w:rsid w:val="00712D9E"/>
    <w:rsid w:val="00715CD9"/>
    <w:rsid w:val="00716974"/>
    <w:rsid w:val="007303B9"/>
    <w:rsid w:val="00731420"/>
    <w:rsid w:val="00732336"/>
    <w:rsid w:val="007455B9"/>
    <w:rsid w:val="00750B5C"/>
    <w:rsid w:val="00761594"/>
    <w:rsid w:val="007714A5"/>
    <w:rsid w:val="00793190"/>
    <w:rsid w:val="0079719E"/>
    <w:rsid w:val="00797EB1"/>
    <w:rsid w:val="007A3DB7"/>
    <w:rsid w:val="007B0DEA"/>
    <w:rsid w:val="007B6997"/>
    <w:rsid w:val="007C6893"/>
    <w:rsid w:val="007C70F8"/>
    <w:rsid w:val="007D4113"/>
    <w:rsid w:val="007E1366"/>
    <w:rsid w:val="007E5A41"/>
    <w:rsid w:val="007F3DFD"/>
    <w:rsid w:val="007F553B"/>
    <w:rsid w:val="00803A02"/>
    <w:rsid w:val="00805773"/>
    <w:rsid w:val="00812C09"/>
    <w:rsid w:val="00823B67"/>
    <w:rsid w:val="008267B9"/>
    <w:rsid w:val="0085484A"/>
    <w:rsid w:val="00861A89"/>
    <w:rsid w:val="00862EEB"/>
    <w:rsid w:val="008718EE"/>
    <w:rsid w:val="008759F5"/>
    <w:rsid w:val="00877484"/>
    <w:rsid w:val="0088075D"/>
    <w:rsid w:val="0088214B"/>
    <w:rsid w:val="008843C4"/>
    <w:rsid w:val="00885EEB"/>
    <w:rsid w:val="00893F3F"/>
    <w:rsid w:val="00896354"/>
    <w:rsid w:val="008A235D"/>
    <w:rsid w:val="008A3533"/>
    <w:rsid w:val="008B3575"/>
    <w:rsid w:val="008B4BB3"/>
    <w:rsid w:val="008B4CB0"/>
    <w:rsid w:val="008C000D"/>
    <w:rsid w:val="008F0C80"/>
    <w:rsid w:val="008F3BD9"/>
    <w:rsid w:val="008F440F"/>
    <w:rsid w:val="009125A5"/>
    <w:rsid w:val="00913660"/>
    <w:rsid w:val="00914E0D"/>
    <w:rsid w:val="0092082C"/>
    <w:rsid w:val="0092487E"/>
    <w:rsid w:val="00927A89"/>
    <w:rsid w:val="00941B47"/>
    <w:rsid w:val="00941E7A"/>
    <w:rsid w:val="00942F35"/>
    <w:rsid w:val="0094494F"/>
    <w:rsid w:val="00947C31"/>
    <w:rsid w:val="0095026E"/>
    <w:rsid w:val="0095526E"/>
    <w:rsid w:val="0096200F"/>
    <w:rsid w:val="009645DD"/>
    <w:rsid w:val="009650B1"/>
    <w:rsid w:val="00973E08"/>
    <w:rsid w:val="009839D2"/>
    <w:rsid w:val="0098463C"/>
    <w:rsid w:val="009904E2"/>
    <w:rsid w:val="0099521B"/>
    <w:rsid w:val="00997DAA"/>
    <w:rsid w:val="009A4ADB"/>
    <w:rsid w:val="009A6A62"/>
    <w:rsid w:val="009B497F"/>
    <w:rsid w:val="009B5D94"/>
    <w:rsid w:val="009D2712"/>
    <w:rsid w:val="009E312E"/>
    <w:rsid w:val="00A0129A"/>
    <w:rsid w:val="00A415A4"/>
    <w:rsid w:val="00A5737E"/>
    <w:rsid w:val="00A61BCA"/>
    <w:rsid w:val="00A631D2"/>
    <w:rsid w:val="00A741CA"/>
    <w:rsid w:val="00A85150"/>
    <w:rsid w:val="00A90D08"/>
    <w:rsid w:val="00A92324"/>
    <w:rsid w:val="00A94917"/>
    <w:rsid w:val="00A97455"/>
    <w:rsid w:val="00AA135E"/>
    <w:rsid w:val="00AA5590"/>
    <w:rsid w:val="00AB303B"/>
    <w:rsid w:val="00AB6553"/>
    <w:rsid w:val="00AC4034"/>
    <w:rsid w:val="00AD269F"/>
    <w:rsid w:val="00AD5882"/>
    <w:rsid w:val="00AD6B35"/>
    <w:rsid w:val="00AE6561"/>
    <w:rsid w:val="00AF54E7"/>
    <w:rsid w:val="00AF5E61"/>
    <w:rsid w:val="00B00168"/>
    <w:rsid w:val="00B057AE"/>
    <w:rsid w:val="00B10A75"/>
    <w:rsid w:val="00B1409F"/>
    <w:rsid w:val="00B3157D"/>
    <w:rsid w:val="00B329AF"/>
    <w:rsid w:val="00B36411"/>
    <w:rsid w:val="00B44E45"/>
    <w:rsid w:val="00B560EE"/>
    <w:rsid w:val="00B561C1"/>
    <w:rsid w:val="00B56367"/>
    <w:rsid w:val="00B60B57"/>
    <w:rsid w:val="00B60D7F"/>
    <w:rsid w:val="00B62168"/>
    <w:rsid w:val="00B72AAB"/>
    <w:rsid w:val="00B777EE"/>
    <w:rsid w:val="00B8127F"/>
    <w:rsid w:val="00B81A5B"/>
    <w:rsid w:val="00B83BD0"/>
    <w:rsid w:val="00B87C9C"/>
    <w:rsid w:val="00BB135C"/>
    <w:rsid w:val="00BB5C1C"/>
    <w:rsid w:val="00BC55D1"/>
    <w:rsid w:val="00BE7B00"/>
    <w:rsid w:val="00BF1F9D"/>
    <w:rsid w:val="00BF64CE"/>
    <w:rsid w:val="00C13F11"/>
    <w:rsid w:val="00C1584D"/>
    <w:rsid w:val="00C15D60"/>
    <w:rsid w:val="00C1795B"/>
    <w:rsid w:val="00C3101E"/>
    <w:rsid w:val="00C416F1"/>
    <w:rsid w:val="00C41A36"/>
    <w:rsid w:val="00C42D61"/>
    <w:rsid w:val="00C43848"/>
    <w:rsid w:val="00C440F6"/>
    <w:rsid w:val="00C563F2"/>
    <w:rsid w:val="00C568B8"/>
    <w:rsid w:val="00C8504F"/>
    <w:rsid w:val="00C85E07"/>
    <w:rsid w:val="00C90C15"/>
    <w:rsid w:val="00C948C3"/>
    <w:rsid w:val="00CA6BF7"/>
    <w:rsid w:val="00CC6FD0"/>
    <w:rsid w:val="00CD5C44"/>
    <w:rsid w:val="00CD6FDB"/>
    <w:rsid w:val="00CE5E0E"/>
    <w:rsid w:val="00CF3B37"/>
    <w:rsid w:val="00CF6EE7"/>
    <w:rsid w:val="00D0607E"/>
    <w:rsid w:val="00D07255"/>
    <w:rsid w:val="00D07562"/>
    <w:rsid w:val="00D17EBC"/>
    <w:rsid w:val="00D234A7"/>
    <w:rsid w:val="00D23C7F"/>
    <w:rsid w:val="00D24BC1"/>
    <w:rsid w:val="00D3155C"/>
    <w:rsid w:val="00D4124C"/>
    <w:rsid w:val="00D45FAA"/>
    <w:rsid w:val="00D619A3"/>
    <w:rsid w:val="00D65059"/>
    <w:rsid w:val="00D85989"/>
    <w:rsid w:val="00D87B07"/>
    <w:rsid w:val="00D92EDE"/>
    <w:rsid w:val="00DA2EEF"/>
    <w:rsid w:val="00DA3848"/>
    <w:rsid w:val="00DB48C1"/>
    <w:rsid w:val="00DB51F6"/>
    <w:rsid w:val="00DB647E"/>
    <w:rsid w:val="00DC4ABF"/>
    <w:rsid w:val="00DD1306"/>
    <w:rsid w:val="00DD3016"/>
    <w:rsid w:val="00DD74C9"/>
    <w:rsid w:val="00DE1DBC"/>
    <w:rsid w:val="00E01EAA"/>
    <w:rsid w:val="00E03872"/>
    <w:rsid w:val="00E10C9B"/>
    <w:rsid w:val="00E11D81"/>
    <w:rsid w:val="00E13427"/>
    <w:rsid w:val="00E14032"/>
    <w:rsid w:val="00E328B2"/>
    <w:rsid w:val="00E4087C"/>
    <w:rsid w:val="00E41154"/>
    <w:rsid w:val="00E64EAD"/>
    <w:rsid w:val="00E76022"/>
    <w:rsid w:val="00E82CA5"/>
    <w:rsid w:val="00E851B9"/>
    <w:rsid w:val="00E85D8A"/>
    <w:rsid w:val="00EA2535"/>
    <w:rsid w:val="00EA65BB"/>
    <w:rsid w:val="00EB7213"/>
    <w:rsid w:val="00ED0C55"/>
    <w:rsid w:val="00ED0CE0"/>
    <w:rsid w:val="00ED3530"/>
    <w:rsid w:val="00ED65D6"/>
    <w:rsid w:val="00EF0ADF"/>
    <w:rsid w:val="00F112AF"/>
    <w:rsid w:val="00F14276"/>
    <w:rsid w:val="00F223E2"/>
    <w:rsid w:val="00F424DB"/>
    <w:rsid w:val="00F44386"/>
    <w:rsid w:val="00F548EB"/>
    <w:rsid w:val="00F64715"/>
    <w:rsid w:val="00F70F56"/>
    <w:rsid w:val="00F75069"/>
    <w:rsid w:val="00F82F8E"/>
    <w:rsid w:val="00F91F8B"/>
    <w:rsid w:val="00F92E0E"/>
    <w:rsid w:val="00F97196"/>
    <w:rsid w:val="00FA1EE9"/>
    <w:rsid w:val="00FA41A5"/>
    <w:rsid w:val="00FB172A"/>
    <w:rsid w:val="00FC0E49"/>
    <w:rsid w:val="00FC12DD"/>
    <w:rsid w:val="00FC5EC7"/>
    <w:rsid w:val="00FD0975"/>
    <w:rsid w:val="00FD0D92"/>
    <w:rsid w:val="00FD6683"/>
    <w:rsid w:val="00FD70DC"/>
    <w:rsid w:val="00FD728E"/>
    <w:rsid w:val="00FE2E15"/>
    <w:rsid w:val="00FE31EC"/>
    <w:rsid w:val="00FE325A"/>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BCCF"/>
  <w15:docId w15:val="{4C868970-8012-4B6C-BB7A-CDD114F8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1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DC4ABF"/>
    <w:pPr>
      <w:tabs>
        <w:tab w:val="left" w:pos="360"/>
      </w:tabs>
      <w:suppressAutoHyphens/>
      <w:spacing w:after="160" w:line="240" w:lineRule="auto"/>
      <w:jc w:val="both"/>
    </w:pPr>
    <w:rPr>
      <w:rFonts w:ascii="Times New Roman" w:eastAsia="Times New Roman" w:hAnsi="Times New Roman"/>
      <w:spacing w:val="-2"/>
      <w:sz w:val="20"/>
      <w:szCs w:val="20"/>
    </w:rPr>
  </w:style>
  <w:style w:type="table" w:styleId="TableGrid">
    <w:name w:val="Table Grid"/>
    <w:basedOn w:val="TableNormal"/>
    <w:uiPriority w:val="59"/>
    <w:rsid w:val="00BF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62168"/>
    <w:rPr>
      <w:sz w:val="16"/>
      <w:szCs w:val="16"/>
    </w:rPr>
  </w:style>
  <w:style w:type="paragraph" w:styleId="CommentText">
    <w:name w:val="annotation text"/>
    <w:basedOn w:val="Normal"/>
    <w:link w:val="CommentTextChar"/>
    <w:semiHidden/>
    <w:rsid w:val="00B6216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B62168"/>
    <w:rPr>
      <w:rFonts w:ascii="Times New Roman" w:eastAsia="Times New Roman" w:hAnsi="Times New Roman"/>
    </w:rPr>
  </w:style>
  <w:style w:type="character" w:styleId="Hyperlink">
    <w:name w:val="Hyperlink"/>
    <w:basedOn w:val="DefaultParagraphFont"/>
    <w:uiPriority w:val="99"/>
    <w:unhideWhenUsed/>
    <w:rsid w:val="00C13F11"/>
    <w:rPr>
      <w:color w:val="0000FF"/>
      <w:u w:val="single"/>
    </w:rPr>
  </w:style>
  <w:style w:type="paragraph" w:styleId="BalloonText">
    <w:name w:val="Balloon Text"/>
    <w:basedOn w:val="Normal"/>
    <w:link w:val="BalloonTextChar"/>
    <w:uiPriority w:val="99"/>
    <w:semiHidden/>
    <w:unhideWhenUsed/>
    <w:rsid w:val="00731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420"/>
    <w:rPr>
      <w:rFonts w:ascii="Tahoma" w:hAnsi="Tahoma" w:cs="Tahoma"/>
      <w:sz w:val="16"/>
      <w:szCs w:val="16"/>
    </w:rPr>
  </w:style>
  <w:style w:type="paragraph" w:styleId="Revision">
    <w:name w:val="Revision"/>
    <w:hidden/>
    <w:uiPriority w:val="99"/>
    <w:semiHidden/>
    <w:rsid w:val="0023327A"/>
    <w:rPr>
      <w:sz w:val="22"/>
      <w:szCs w:val="22"/>
    </w:rPr>
  </w:style>
  <w:style w:type="character" w:styleId="UnresolvedMention">
    <w:name w:val="Unresolved Mention"/>
    <w:basedOn w:val="DefaultParagraphFont"/>
    <w:uiPriority w:val="99"/>
    <w:semiHidden/>
    <w:unhideWhenUsed/>
    <w:rsid w:val="00D4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n.sheppard@tdhca.texa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4C905-2F2E-4222-9FB2-596C046B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13171</CharactersWithSpaces>
  <SharedDoc>false</SharedDoc>
  <HLinks>
    <vt:vector size="18" baseType="variant">
      <vt:variant>
        <vt:i4>7602194</vt:i4>
      </vt:variant>
      <vt:variant>
        <vt:i4>100</vt:i4>
      </vt:variant>
      <vt:variant>
        <vt:i4>0</vt:i4>
      </vt:variant>
      <vt:variant>
        <vt:i4>5</vt:i4>
      </vt:variant>
      <vt:variant>
        <vt:lpwstr>mailto:sharon.gamble@tdhca.state.tx.us</vt:lpwstr>
      </vt:variant>
      <vt:variant>
        <vt:lpwstr/>
      </vt:variant>
      <vt:variant>
        <vt:i4>3145804</vt:i4>
      </vt:variant>
      <vt:variant>
        <vt:i4>97</vt:i4>
      </vt:variant>
      <vt:variant>
        <vt:i4>0</vt:i4>
      </vt:variant>
      <vt:variant>
        <vt:i4>5</vt:i4>
      </vt:variant>
      <vt:variant>
        <vt:lpwstr>mailto:ben.sheppard@tdhca.state.tx.us</vt:lpwstr>
      </vt:variant>
      <vt:variant>
        <vt:lpwstr/>
      </vt:variant>
      <vt:variant>
        <vt:i4>3145804</vt:i4>
      </vt:variant>
      <vt:variant>
        <vt:i4>0</vt:i4>
      </vt:variant>
      <vt:variant>
        <vt:i4>0</vt:i4>
      </vt:variant>
      <vt:variant>
        <vt:i4>5</vt:i4>
      </vt:variant>
      <vt:variant>
        <vt:lpwstr>mailto:ben.sheppard@tdhca.state.tx.us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Gatica</dc:creator>
  <cp:lastModifiedBy>Ben Sheppard</cp:lastModifiedBy>
  <cp:revision>3</cp:revision>
  <cp:lastPrinted>2018-08-28T13:40:00Z</cp:lastPrinted>
  <dcterms:created xsi:type="dcterms:W3CDTF">2025-07-29T17:35:00Z</dcterms:created>
  <dcterms:modified xsi:type="dcterms:W3CDTF">2025-07-29T18:53:00Z</dcterms:modified>
</cp:coreProperties>
</file>