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E54A" w14:textId="0F47E29C" w:rsidR="001356E5" w:rsidRPr="00257EEE" w:rsidRDefault="006B7A52" w:rsidP="00257EEE">
      <w:pPr>
        <w:pStyle w:val="Title"/>
      </w:pPr>
      <w:r w:rsidRPr="00257EEE">
        <w:t>202</w:t>
      </w:r>
      <w:r w:rsidR="00E21532" w:rsidRPr="00257EEE">
        <w:t>5</w:t>
      </w:r>
      <w:r w:rsidRPr="00257EEE">
        <w:t xml:space="preserve"> </w:t>
      </w:r>
      <w:r w:rsidR="001356E5" w:rsidRPr="00257EEE">
        <w:t>Carryover</w:t>
      </w:r>
      <w:r w:rsidR="00F67A5B" w:rsidRPr="00257EEE">
        <w:t xml:space="preserve"> Manual</w:t>
      </w:r>
    </w:p>
    <w:p w14:paraId="127F7529" w14:textId="77777777" w:rsidR="00374D79" w:rsidRDefault="00374D79" w:rsidP="00A12719">
      <w:pPr>
        <w:jc w:val="both"/>
        <w:rPr>
          <w:rFonts w:asciiTheme="minorHAnsi" w:hAnsiTheme="minorHAnsi"/>
        </w:rPr>
      </w:pPr>
    </w:p>
    <w:p w14:paraId="7D26E51C" w14:textId="234C89A4" w:rsidR="001356E5" w:rsidRDefault="00B8325D" w:rsidP="00A12719">
      <w:pPr>
        <w:jc w:val="both"/>
        <w:rPr>
          <w:rFonts w:asciiTheme="minorHAnsi" w:hAnsiTheme="minorHAnsi"/>
        </w:rPr>
      </w:pPr>
      <w:r w:rsidRPr="00C13CCA">
        <w:rPr>
          <w:rFonts w:asciiTheme="minorHAnsi" w:hAnsiTheme="minorHAnsi"/>
        </w:rPr>
        <w:t xml:space="preserve">A Development Owner </w:t>
      </w:r>
      <w:r w:rsidR="00693614">
        <w:rPr>
          <w:rFonts w:asciiTheme="minorHAnsi" w:hAnsiTheme="minorHAnsi"/>
        </w:rPr>
        <w:t xml:space="preserve">(Owner) </w:t>
      </w:r>
      <w:r w:rsidRPr="00C13CCA">
        <w:rPr>
          <w:rFonts w:asciiTheme="minorHAnsi" w:hAnsiTheme="minorHAnsi"/>
        </w:rPr>
        <w:t xml:space="preserve">in receipt of a </w:t>
      </w:r>
      <w:r w:rsidR="006B7A52" w:rsidRPr="00701D31">
        <w:rPr>
          <w:rFonts w:asciiTheme="minorHAnsi" w:hAnsiTheme="minorHAnsi"/>
        </w:rPr>
        <w:t>202</w:t>
      </w:r>
      <w:r w:rsidR="007D6EFE" w:rsidRPr="00701D31">
        <w:rPr>
          <w:rFonts w:asciiTheme="minorHAnsi" w:hAnsiTheme="minorHAnsi"/>
        </w:rPr>
        <w:t>5</w:t>
      </w:r>
      <w:r w:rsidR="006B7A52" w:rsidRPr="00C13CCA">
        <w:rPr>
          <w:rFonts w:asciiTheme="minorHAnsi" w:hAnsiTheme="minorHAnsi"/>
        </w:rPr>
        <w:t xml:space="preserve"> </w:t>
      </w:r>
      <w:r w:rsidRPr="00C13CCA">
        <w:rPr>
          <w:rFonts w:asciiTheme="minorHAnsi" w:hAnsiTheme="minorHAnsi"/>
        </w:rPr>
        <w:t xml:space="preserve">Commitment Notice </w:t>
      </w:r>
      <w:r w:rsidR="00773740">
        <w:rPr>
          <w:rFonts w:asciiTheme="minorHAnsi" w:hAnsiTheme="minorHAnsi"/>
        </w:rPr>
        <w:t xml:space="preserve">from the Texas Department of Housing and Community Affairs (TDHCA or Department) </w:t>
      </w:r>
      <w:r w:rsidRPr="00C13CCA">
        <w:rPr>
          <w:rFonts w:asciiTheme="minorHAnsi" w:hAnsiTheme="minorHAnsi"/>
        </w:rPr>
        <w:t xml:space="preserve">must file the </w:t>
      </w:r>
      <w:r w:rsidR="006B7A52" w:rsidRPr="00E8769F">
        <w:rPr>
          <w:rFonts w:asciiTheme="minorHAnsi" w:hAnsiTheme="minorHAnsi"/>
        </w:rPr>
        <w:t>202</w:t>
      </w:r>
      <w:r w:rsidR="007D6EFE" w:rsidRPr="00E8769F">
        <w:rPr>
          <w:rFonts w:asciiTheme="minorHAnsi" w:hAnsiTheme="minorHAnsi"/>
        </w:rPr>
        <w:t>5</w:t>
      </w:r>
      <w:r w:rsidR="006B7A52" w:rsidRPr="00C13CCA">
        <w:rPr>
          <w:rFonts w:asciiTheme="minorHAnsi" w:hAnsiTheme="minorHAnsi"/>
        </w:rPr>
        <w:t xml:space="preserve"> </w:t>
      </w:r>
      <w:r w:rsidRPr="00C13CCA">
        <w:rPr>
          <w:rFonts w:asciiTheme="minorHAnsi" w:hAnsiTheme="minorHAnsi"/>
        </w:rPr>
        <w:t xml:space="preserve">carryover package to obtain a </w:t>
      </w:r>
      <w:r w:rsidR="00A47CFD" w:rsidRPr="00C13CCA">
        <w:rPr>
          <w:rFonts w:asciiTheme="minorHAnsi" w:hAnsiTheme="minorHAnsi"/>
        </w:rPr>
        <w:t>Carryover Allocation</w:t>
      </w:r>
      <w:r w:rsidRPr="00C13CCA">
        <w:rPr>
          <w:rFonts w:asciiTheme="minorHAnsi" w:hAnsiTheme="minorHAnsi"/>
        </w:rPr>
        <w:t xml:space="preserve">. </w:t>
      </w:r>
      <w:r w:rsidR="00DF217D" w:rsidRPr="00C13CCA">
        <w:rPr>
          <w:rFonts w:asciiTheme="minorHAnsi" w:hAnsiTheme="minorHAnsi"/>
        </w:rPr>
        <w:t xml:space="preserve">Under </w:t>
      </w:r>
      <w:r w:rsidR="00BD0272">
        <w:rPr>
          <w:rFonts w:asciiTheme="minorHAnsi" w:hAnsiTheme="minorHAnsi"/>
        </w:rPr>
        <w:t>I</w:t>
      </w:r>
      <w:r w:rsidR="00693614">
        <w:rPr>
          <w:rFonts w:asciiTheme="minorHAnsi" w:hAnsiTheme="minorHAnsi"/>
        </w:rPr>
        <w:t>nternal Revenue R</w:t>
      </w:r>
      <w:r w:rsidR="00DF217D" w:rsidRPr="00C13CCA">
        <w:rPr>
          <w:rFonts w:asciiTheme="minorHAnsi" w:hAnsiTheme="minorHAnsi"/>
        </w:rPr>
        <w:t xml:space="preserve">egulations, </w:t>
      </w:r>
      <w:r w:rsidR="001356E5" w:rsidRPr="00C13CCA">
        <w:rPr>
          <w:rFonts w:asciiTheme="minorHAnsi" w:hAnsiTheme="minorHAnsi"/>
        </w:rPr>
        <w:t xml:space="preserve">a Carryover Allocation Agreement </w:t>
      </w:r>
      <w:r w:rsidR="008F7F45">
        <w:rPr>
          <w:rFonts w:asciiTheme="minorHAnsi" w:hAnsiTheme="minorHAnsi"/>
        </w:rPr>
        <w:t xml:space="preserve">(CAA) </w:t>
      </w:r>
      <w:r w:rsidR="00BB3F1C">
        <w:rPr>
          <w:rFonts w:asciiTheme="minorHAnsi" w:hAnsiTheme="minorHAnsi"/>
        </w:rPr>
        <w:t xml:space="preserve">must be </w:t>
      </w:r>
      <w:r w:rsidR="001356E5" w:rsidRPr="00C13CCA">
        <w:rPr>
          <w:rFonts w:asciiTheme="minorHAnsi" w:hAnsiTheme="minorHAnsi"/>
        </w:rPr>
        <w:t>signed by both the Owner and the Department by December 31 of the year of the aw</w:t>
      </w:r>
      <w:r w:rsidR="008F7F45">
        <w:rPr>
          <w:rFonts w:asciiTheme="minorHAnsi" w:hAnsiTheme="minorHAnsi"/>
        </w:rPr>
        <w:t>ard</w:t>
      </w:r>
      <w:r w:rsidR="00BB3F1C">
        <w:rPr>
          <w:rFonts w:asciiTheme="minorHAnsi" w:hAnsiTheme="minorHAnsi"/>
        </w:rPr>
        <w:t xml:space="preserve">. If </w:t>
      </w:r>
      <w:r w:rsidR="009A59F3">
        <w:rPr>
          <w:rFonts w:asciiTheme="minorHAnsi" w:hAnsiTheme="minorHAnsi"/>
        </w:rPr>
        <w:t>this r</w:t>
      </w:r>
      <w:r w:rsidR="00BB3F1C">
        <w:rPr>
          <w:rFonts w:asciiTheme="minorHAnsi" w:hAnsiTheme="minorHAnsi"/>
        </w:rPr>
        <w:t xml:space="preserve">equirement is not met, </w:t>
      </w:r>
      <w:r w:rsidR="008F7F45">
        <w:rPr>
          <w:rFonts w:asciiTheme="minorHAnsi" w:hAnsiTheme="minorHAnsi"/>
        </w:rPr>
        <w:t xml:space="preserve">the award </w:t>
      </w:r>
      <w:r w:rsidR="00BB3F1C">
        <w:rPr>
          <w:rFonts w:asciiTheme="minorHAnsi" w:hAnsiTheme="minorHAnsi"/>
        </w:rPr>
        <w:t>will be</w:t>
      </w:r>
      <w:r w:rsidR="008F7F45">
        <w:rPr>
          <w:rFonts w:asciiTheme="minorHAnsi" w:hAnsiTheme="minorHAnsi"/>
        </w:rPr>
        <w:t xml:space="preserve"> treated as though </w:t>
      </w:r>
      <w:r w:rsidR="001356E5" w:rsidRPr="00C13CCA">
        <w:rPr>
          <w:rFonts w:asciiTheme="minorHAnsi" w:hAnsiTheme="minorHAnsi"/>
        </w:rPr>
        <w:t xml:space="preserve">it </w:t>
      </w:r>
      <w:r w:rsidR="00BB3F1C">
        <w:rPr>
          <w:rFonts w:asciiTheme="minorHAnsi" w:hAnsiTheme="minorHAnsi"/>
        </w:rPr>
        <w:t xml:space="preserve">was not </w:t>
      </w:r>
      <w:r w:rsidR="001356E5" w:rsidRPr="00C13CCA">
        <w:rPr>
          <w:rFonts w:asciiTheme="minorHAnsi" w:hAnsiTheme="minorHAnsi"/>
        </w:rPr>
        <w:t xml:space="preserve">made. The </w:t>
      </w:r>
      <w:r w:rsidR="003C4721" w:rsidRPr="00C13CCA">
        <w:rPr>
          <w:rFonts w:asciiTheme="minorHAnsi" w:hAnsiTheme="minorHAnsi"/>
        </w:rPr>
        <w:t xml:space="preserve">federal </w:t>
      </w:r>
      <w:r w:rsidR="001356E5" w:rsidRPr="00C13CCA">
        <w:rPr>
          <w:rFonts w:asciiTheme="minorHAnsi" w:hAnsiTheme="minorHAnsi"/>
        </w:rPr>
        <w:t xml:space="preserve">rules for </w:t>
      </w:r>
      <w:r w:rsidR="00A47CFD" w:rsidRPr="00C13CCA">
        <w:rPr>
          <w:rFonts w:asciiTheme="minorHAnsi" w:hAnsiTheme="minorHAnsi"/>
        </w:rPr>
        <w:t xml:space="preserve">Carryover Allocations </w:t>
      </w:r>
      <w:r w:rsidR="001356E5" w:rsidRPr="00C13CCA">
        <w:rPr>
          <w:rFonts w:asciiTheme="minorHAnsi" w:hAnsiTheme="minorHAnsi"/>
        </w:rPr>
        <w:t>are stated in Internal Revenue Code</w:t>
      </w:r>
      <w:r w:rsidR="00D143CD" w:rsidRPr="00C13CCA">
        <w:rPr>
          <w:rFonts w:asciiTheme="minorHAnsi" w:hAnsiTheme="minorHAnsi"/>
        </w:rPr>
        <w:t xml:space="preserve"> (IRC)</w:t>
      </w:r>
      <w:r w:rsidR="00E2177C" w:rsidRPr="00C13CCA">
        <w:rPr>
          <w:rFonts w:asciiTheme="minorHAnsi" w:hAnsiTheme="minorHAnsi"/>
        </w:rPr>
        <w:t>,</w:t>
      </w:r>
      <w:r w:rsidR="001356E5" w:rsidRPr="00C13CCA">
        <w:rPr>
          <w:rFonts w:asciiTheme="minorHAnsi" w:hAnsiTheme="minorHAnsi"/>
        </w:rPr>
        <w:t xml:space="preserve"> §42(h)(1)(E)</w:t>
      </w:r>
      <w:r w:rsidR="002F6D9B">
        <w:rPr>
          <w:rFonts w:asciiTheme="minorHAnsi" w:hAnsiTheme="minorHAnsi"/>
        </w:rPr>
        <w:t xml:space="preserve"> </w:t>
      </w:r>
      <w:r w:rsidR="00E67A9E" w:rsidRPr="00C13CCA">
        <w:rPr>
          <w:rFonts w:asciiTheme="minorHAnsi" w:hAnsiTheme="minorHAnsi"/>
        </w:rPr>
        <w:t>-</w:t>
      </w:r>
      <w:r w:rsidR="002F6D9B">
        <w:rPr>
          <w:rFonts w:asciiTheme="minorHAnsi" w:hAnsiTheme="minorHAnsi"/>
        </w:rPr>
        <w:t xml:space="preserve"> </w:t>
      </w:r>
      <w:r w:rsidR="001356E5" w:rsidRPr="00C13CCA">
        <w:rPr>
          <w:rFonts w:asciiTheme="minorHAnsi" w:hAnsiTheme="minorHAnsi"/>
        </w:rPr>
        <w:t>(F), and Title 26, Code of Federal Regulations</w:t>
      </w:r>
      <w:r w:rsidR="00D143CD" w:rsidRPr="00C13CCA">
        <w:rPr>
          <w:rFonts w:asciiTheme="minorHAnsi" w:hAnsiTheme="minorHAnsi"/>
        </w:rPr>
        <w:t xml:space="preserve"> (CFR)</w:t>
      </w:r>
      <w:r w:rsidR="001356E5" w:rsidRPr="00C13CCA">
        <w:rPr>
          <w:rFonts w:asciiTheme="minorHAnsi" w:hAnsiTheme="minorHAnsi"/>
        </w:rPr>
        <w:t xml:space="preserve">, §1.42-6. </w:t>
      </w:r>
      <w:r w:rsidR="003C4721" w:rsidRPr="00C13CCA">
        <w:rPr>
          <w:rFonts w:asciiTheme="minorHAnsi" w:hAnsiTheme="minorHAnsi"/>
        </w:rPr>
        <w:t xml:space="preserve">The Department’s </w:t>
      </w:r>
      <w:r w:rsidR="003564EA" w:rsidRPr="00C13CCA">
        <w:rPr>
          <w:rFonts w:asciiTheme="minorHAnsi" w:hAnsiTheme="minorHAnsi"/>
        </w:rPr>
        <w:t xml:space="preserve">carryover </w:t>
      </w:r>
      <w:r w:rsidR="003C4721" w:rsidRPr="00C13CCA">
        <w:rPr>
          <w:rFonts w:asciiTheme="minorHAnsi" w:hAnsiTheme="minorHAnsi"/>
        </w:rPr>
        <w:t>rules are stated in the</w:t>
      </w:r>
      <w:r w:rsidR="00AF1220">
        <w:rPr>
          <w:rFonts w:asciiTheme="minorHAnsi" w:hAnsiTheme="minorHAnsi"/>
        </w:rPr>
        <w:t xml:space="preserve"> </w:t>
      </w:r>
      <w:r w:rsidR="006B7A52" w:rsidRPr="00E8769F">
        <w:rPr>
          <w:rFonts w:asciiTheme="minorHAnsi" w:hAnsiTheme="minorHAnsi"/>
        </w:rPr>
        <w:t>202</w:t>
      </w:r>
      <w:r w:rsidR="00612BDD" w:rsidRPr="00E8769F">
        <w:rPr>
          <w:rFonts w:asciiTheme="minorHAnsi" w:hAnsiTheme="minorHAnsi"/>
        </w:rPr>
        <w:t>5</w:t>
      </w:r>
      <w:r w:rsidR="006B7A52" w:rsidRPr="00C13CCA">
        <w:rPr>
          <w:rFonts w:asciiTheme="minorHAnsi" w:hAnsiTheme="minorHAnsi"/>
        </w:rPr>
        <w:t xml:space="preserve"> </w:t>
      </w:r>
      <w:r w:rsidR="003564EA" w:rsidRPr="00C13CCA">
        <w:rPr>
          <w:rFonts w:asciiTheme="minorHAnsi" w:hAnsiTheme="minorHAnsi"/>
        </w:rPr>
        <w:t>Qualified Allocation Plan</w:t>
      </w:r>
      <w:r w:rsidR="00772B81" w:rsidRPr="00C13CCA">
        <w:rPr>
          <w:rFonts w:asciiTheme="minorHAnsi" w:hAnsiTheme="minorHAnsi"/>
        </w:rPr>
        <w:t xml:space="preserve"> (QAP)</w:t>
      </w:r>
      <w:r w:rsidR="00762405">
        <w:rPr>
          <w:rFonts w:asciiTheme="minorHAnsi" w:hAnsiTheme="minorHAnsi"/>
        </w:rPr>
        <w:t xml:space="preserve">, </w:t>
      </w:r>
      <w:r w:rsidR="004C290C">
        <w:rPr>
          <w:rFonts w:asciiTheme="minorHAnsi" w:hAnsiTheme="minorHAnsi"/>
        </w:rPr>
        <w:t xml:space="preserve">10 TAC </w:t>
      </w:r>
      <w:r w:rsidR="004C290C">
        <w:rPr>
          <w:rFonts w:asciiTheme="minorHAnsi" w:hAnsiTheme="minorHAnsi" w:cstheme="minorHAnsi"/>
        </w:rPr>
        <w:t>§</w:t>
      </w:r>
      <w:r w:rsidR="00762405">
        <w:rPr>
          <w:rFonts w:asciiTheme="minorHAnsi" w:hAnsiTheme="minorHAnsi"/>
        </w:rPr>
        <w:t>11.907, and</w:t>
      </w:r>
      <w:r w:rsidR="004C290C">
        <w:rPr>
          <w:rFonts w:asciiTheme="minorHAnsi" w:hAnsiTheme="minorHAnsi"/>
        </w:rPr>
        <w:t xml:space="preserve"> 10 TAC </w:t>
      </w:r>
      <w:r w:rsidR="00762405">
        <w:rPr>
          <w:rFonts w:asciiTheme="minorHAnsi" w:hAnsiTheme="minorHAnsi" w:cstheme="minorHAnsi"/>
        </w:rPr>
        <w:t>§</w:t>
      </w:r>
      <w:r w:rsidR="00762405">
        <w:rPr>
          <w:rFonts w:asciiTheme="minorHAnsi" w:hAnsiTheme="minorHAnsi"/>
        </w:rPr>
        <w:t>10.401(a)</w:t>
      </w:r>
      <w:r w:rsidR="00693614">
        <w:rPr>
          <w:rFonts w:asciiTheme="minorHAnsi" w:hAnsiTheme="minorHAnsi"/>
        </w:rPr>
        <w:t>,</w:t>
      </w:r>
      <w:r w:rsidR="00693614" w:rsidRPr="00693614">
        <w:rPr>
          <w:rFonts w:asciiTheme="minorHAnsi" w:hAnsiTheme="minorHAnsi"/>
        </w:rPr>
        <w:t xml:space="preserve"> </w:t>
      </w:r>
      <w:r w:rsidR="00693614">
        <w:rPr>
          <w:rFonts w:asciiTheme="minorHAnsi" w:hAnsiTheme="minorHAnsi"/>
        </w:rPr>
        <w:t>regarding the 10% Test</w:t>
      </w:r>
      <w:r w:rsidR="001356E5" w:rsidRPr="00C13CCA">
        <w:rPr>
          <w:rFonts w:asciiTheme="minorHAnsi" w:hAnsiTheme="minorHAnsi"/>
        </w:rPr>
        <w:t>.</w:t>
      </w:r>
    </w:p>
    <w:p w14:paraId="4B8D3F8C" w14:textId="77777777" w:rsidR="00EF6EAA" w:rsidRPr="00C13CCA" w:rsidRDefault="00EF6EAA" w:rsidP="00A12719">
      <w:pPr>
        <w:jc w:val="both"/>
        <w:rPr>
          <w:rFonts w:asciiTheme="minorHAnsi" w:hAnsiTheme="minorHAnsi"/>
        </w:rPr>
      </w:pPr>
    </w:p>
    <w:p w14:paraId="58306D57" w14:textId="1E949D5C" w:rsidR="001356E5" w:rsidRDefault="001356E5" w:rsidP="00A12719">
      <w:pPr>
        <w:jc w:val="both"/>
        <w:rPr>
          <w:rFonts w:asciiTheme="minorHAnsi" w:hAnsiTheme="minorHAnsi"/>
        </w:rPr>
      </w:pPr>
      <w:r w:rsidRPr="00C13CCA">
        <w:rPr>
          <w:rFonts w:asciiTheme="minorHAnsi" w:hAnsiTheme="minorHAnsi"/>
        </w:rPr>
        <w:t xml:space="preserve">When all conditions and requirements of </w:t>
      </w:r>
      <w:r w:rsidR="006561FD" w:rsidRPr="00C13CCA">
        <w:rPr>
          <w:rFonts w:asciiTheme="minorHAnsi" w:hAnsiTheme="minorHAnsi"/>
        </w:rPr>
        <w:t>c</w:t>
      </w:r>
      <w:r w:rsidRPr="00C13CCA">
        <w:rPr>
          <w:rFonts w:asciiTheme="minorHAnsi" w:hAnsiTheme="minorHAnsi"/>
        </w:rPr>
        <w:t xml:space="preserve">arryover </w:t>
      </w:r>
      <w:r w:rsidR="00FA2B44" w:rsidRPr="00C13CCA">
        <w:rPr>
          <w:rFonts w:asciiTheme="minorHAnsi" w:hAnsiTheme="minorHAnsi"/>
        </w:rPr>
        <w:t>are</w:t>
      </w:r>
      <w:r w:rsidRPr="00C13CCA">
        <w:rPr>
          <w:rFonts w:asciiTheme="minorHAnsi" w:hAnsiTheme="minorHAnsi"/>
        </w:rPr>
        <w:t xml:space="preserve"> satisfied, the Department will execute the </w:t>
      </w:r>
      <w:r w:rsidR="008F7F45">
        <w:rPr>
          <w:rFonts w:asciiTheme="minorHAnsi" w:hAnsiTheme="minorHAnsi"/>
        </w:rPr>
        <w:t xml:space="preserve">CAA </w:t>
      </w:r>
      <w:r w:rsidRPr="00C13CCA">
        <w:rPr>
          <w:rFonts w:asciiTheme="minorHAnsi" w:hAnsiTheme="minorHAnsi"/>
        </w:rPr>
        <w:t xml:space="preserve">and return a copy to the Owner. The Department will account for all </w:t>
      </w:r>
      <w:r w:rsidR="00A47CFD" w:rsidRPr="00C13CCA">
        <w:rPr>
          <w:rFonts w:asciiTheme="minorHAnsi" w:hAnsiTheme="minorHAnsi"/>
        </w:rPr>
        <w:t xml:space="preserve">Carryover Allocations </w:t>
      </w:r>
      <w:r w:rsidR="00FA2B44" w:rsidRPr="00C13CCA">
        <w:rPr>
          <w:rFonts w:asciiTheme="minorHAnsi" w:hAnsiTheme="minorHAnsi"/>
        </w:rPr>
        <w:t>in its annual report to the Internal Revenue Service</w:t>
      </w:r>
      <w:r w:rsidRPr="00C13CCA">
        <w:rPr>
          <w:rFonts w:asciiTheme="minorHAnsi" w:hAnsiTheme="minorHAnsi"/>
        </w:rPr>
        <w:t>. The Department will not execute the C</w:t>
      </w:r>
      <w:r w:rsidR="008F7F45">
        <w:rPr>
          <w:rFonts w:asciiTheme="minorHAnsi" w:hAnsiTheme="minorHAnsi"/>
        </w:rPr>
        <w:t>AA</w:t>
      </w:r>
      <w:r w:rsidRPr="00C13CCA">
        <w:rPr>
          <w:rFonts w:asciiTheme="minorHAnsi" w:hAnsiTheme="minorHAnsi"/>
        </w:rPr>
        <w:t xml:space="preserve"> until all commitment and carryover documentation </w:t>
      </w:r>
      <w:r w:rsidR="00BB3F1C">
        <w:rPr>
          <w:rFonts w:asciiTheme="minorHAnsi" w:hAnsiTheme="minorHAnsi"/>
        </w:rPr>
        <w:t>has been reviewed and found</w:t>
      </w:r>
      <w:r w:rsidRPr="00C13CCA">
        <w:rPr>
          <w:rFonts w:asciiTheme="minorHAnsi" w:hAnsiTheme="minorHAnsi"/>
        </w:rPr>
        <w:t xml:space="preserve"> acceptable.</w:t>
      </w:r>
    </w:p>
    <w:p w14:paraId="65C66150" w14:textId="6A519EF5" w:rsidR="00185263" w:rsidRDefault="00185263" w:rsidP="00A12719">
      <w:pPr>
        <w:jc w:val="both"/>
        <w:rPr>
          <w:rFonts w:asciiTheme="minorHAnsi" w:hAnsiTheme="minorHAnsi"/>
        </w:rPr>
      </w:pPr>
      <w:bookmarkStart w:id="0" w:name="_Toc411216501"/>
      <w:r>
        <w:rPr>
          <w:rFonts w:asciiTheme="minorHAnsi" w:hAnsiTheme="minorHAnsi"/>
        </w:rPr>
        <w:t>Carryover Documentation Delivery Instructions</w:t>
      </w:r>
    </w:p>
    <w:p w14:paraId="649125F6" w14:textId="77777777" w:rsidR="00185263" w:rsidRDefault="00185263" w:rsidP="00A12719">
      <w:pPr>
        <w:jc w:val="both"/>
        <w:rPr>
          <w:rFonts w:asciiTheme="minorHAnsi" w:hAnsiTheme="minorHAnsi"/>
        </w:rPr>
      </w:pPr>
    </w:p>
    <w:p w14:paraId="7682E00B" w14:textId="23E9B090" w:rsidR="00185263" w:rsidRPr="002D676D" w:rsidRDefault="00185263" w:rsidP="00A12719">
      <w:pPr>
        <w:jc w:val="both"/>
        <w:rPr>
          <w:rFonts w:asciiTheme="minorHAnsi" w:hAnsiTheme="minorHAnsi"/>
          <w:b/>
          <w:bCs/>
          <w:color w:val="FFFFFF"/>
        </w:rPr>
      </w:pPr>
      <w:r w:rsidRPr="002D676D">
        <w:rPr>
          <w:rFonts w:asciiTheme="minorHAnsi" w:hAnsiTheme="minorHAnsi"/>
          <w:b/>
          <w:bCs/>
          <w:color w:val="FFFFFF"/>
          <w:highlight w:val="black"/>
        </w:rPr>
        <w:t>Carryover Documentation Delivery Instructions</w:t>
      </w:r>
    </w:p>
    <w:p w14:paraId="6E63E235" w14:textId="77777777" w:rsidR="00257EEE" w:rsidRDefault="00257EEE" w:rsidP="00A12719">
      <w:pPr>
        <w:jc w:val="both"/>
        <w:rPr>
          <w:rFonts w:asciiTheme="minorHAnsi" w:hAnsiTheme="minorHAnsi"/>
        </w:rPr>
      </w:pPr>
    </w:p>
    <w:p w14:paraId="1C6576B6" w14:textId="0429F194" w:rsidR="001356E5" w:rsidRDefault="001356E5" w:rsidP="00A12719">
      <w:pPr>
        <w:jc w:val="both"/>
        <w:rPr>
          <w:rFonts w:asciiTheme="minorHAnsi" w:hAnsiTheme="minorHAnsi"/>
        </w:rPr>
      </w:pPr>
      <w:r w:rsidRPr="00C13CCA">
        <w:rPr>
          <w:rFonts w:asciiTheme="minorHAnsi" w:hAnsiTheme="minorHAnsi"/>
        </w:rPr>
        <w:t xml:space="preserve">All </w:t>
      </w:r>
      <w:r w:rsidR="006561FD" w:rsidRPr="00C13CCA">
        <w:rPr>
          <w:rFonts w:asciiTheme="minorHAnsi" w:hAnsiTheme="minorHAnsi"/>
        </w:rPr>
        <w:t>c</w:t>
      </w:r>
      <w:r w:rsidRPr="00C13CCA">
        <w:rPr>
          <w:rFonts w:asciiTheme="minorHAnsi" w:hAnsiTheme="minorHAnsi"/>
        </w:rPr>
        <w:t>arryover documentation, excep</w:t>
      </w:r>
      <w:r w:rsidR="009C60FF">
        <w:rPr>
          <w:rFonts w:asciiTheme="minorHAnsi" w:hAnsiTheme="minorHAnsi"/>
        </w:rPr>
        <w:t>t</w:t>
      </w:r>
      <w:r w:rsidRPr="00C13CCA">
        <w:rPr>
          <w:rFonts w:asciiTheme="minorHAnsi" w:hAnsiTheme="minorHAnsi"/>
        </w:rPr>
        <w:t xml:space="preserve"> the </w:t>
      </w:r>
      <w:r w:rsidR="00C06E1D" w:rsidRPr="00C13CCA">
        <w:rPr>
          <w:rFonts w:asciiTheme="minorHAnsi" w:hAnsiTheme="minorHAnsi"/>
        </w:rPr>
        <w:t xml:space="preserve">executed </w:t>
      </w:r>
      <w:r w:rsidR="008F7F45">
        <w:rPr>
          <w:rFonts w:asciiTheme="minorHAnsi" w:hAnsiTheme="minorHAnsi"/>
        </w:rPr>
        <w:t>CAA</w:t>
      </w:r>
      <w:r w:rsidRPr="00C13CCA">
        <w:rPr>
          <w:rFonts w:asciiTheme="minorHAnsi" w:hAnsiTheme="minorHAnsi"/>
        </w:rPr>
        <w:t xml:space="preserve">, must be submitted in electronic format </w:t>
      </w:r>
      <w:r w:rsidR="00C06E1D" w:rsidRPr="00C13CCA">
        <w:rPr>
          <w:rFonts w:asciiTheme="minorHAnsi" w:hAnsiTheme="minorHAnsi"/>
        </w:rPr>
        <w:t xml:space="preserve">via </w:t>
      </w:r>
      <w:r w:rsidRPr="00C13CCA">
        <w:rPr>
          <w:rFonts w:asciiTheme="minorHAnsi" w:hAnsiTheme="minorHAnsi"/>
        </w:rPr>
        <w:t>the Department’s FTP server</w:t>
      </w:r>
      <w:r w:rsidR="00AE49DB" w:rsidRPr="00C13CCA">
        <w:rPr>
          <w:rFonts w:asciiTheme="minorHAnsi" w:hAnsiTheme="minorHAnsi"/>
        </w:rPr>
        <w:t xml:space="preserve"> by 5</w:t>
      </w:r>
      <w:r w:rsidR="00B736A6" w:rsidRPr="00C13CCA">
        <w:rPr>
          <w:rFonts w:asciiTheme="minorHAnsi" w:hAnsiTheme="minorHAnsi"/>
        </w:rPr>
        <w:t xml:space="preserve">:00 </w:t>
      </w:r>
      <w:r w:rsidR="00AE49DB" w:rsidRPr="00C13CCA">
        <w:rPr>
          <w:rFonts w:asciiTheme="minorHAnsi" w:hAnsiTheme="minorHAnsi"/>
        </w:rPr>
        <w:t>p</w:t>
      </w:r>
      <w:r w:rsidR="00B736A6" w:rsidRPr="00C13CCA">
        <w:rPr>
          <w:rFonts w:asciiTheme="minorHAnsi" w:hAnsiTheme="minorHAnsi"/>
        </w:rPr>
        <w:t>.</w:t>
      </w:r>
      <w:r w:rsidR="00AE49DB" w:rsidRPr="00C13CCA">
        <w:rPr>
          <w:rFonts w:asciiTheme="minorHAnsi" w:hAnsiTheme="minorHAnsi"/>
        </w:rPr>
        <w:t>m</w:t>
      </w:r>
      <w:r w:rsidR="00B736A6" w:rsidRPr="00C13CCA">
        <w:rPr>
          <w:rFonts w:asciiTheme="minorHAnsi" w:hAnsiTheme="minorHAnsi"/>
        </w:rPr>
        <w:t>.</w:t>
      </w:r>
      <w:r w:rsidR="00AE49DB" w:rsidRPr="00C13CCA">
        <w:rPr>
          <w:rFonts w:asciiTheme="minorHAnsi" w:hAnsiTheme="minorHAnsi"/>
        </w:rPr>
        <w:t xml:space="preserve">, </w:t>
      </w:r>
      <w:r w:rsidR="008F7F45">
        <w:rPr>
          <w:rFonts w:asciiTheme="minorHAnsi" w:hAnsiTheme="minorHAnsi"/>
        </w:rPr>
        <w:t>CDT</w:t>
      </w:r>
      <w:r w:rsidR="00B736A6" w:rsidRPr="00C13CCA">
        <w:rPr>
          <w:rFonts w:asciiTheme="minorHAnsi" w:hAnsiTheme="minorHAnsi"/>
        </w:rPr>
        <w:t xml:space="preserve">, </w:t>
      </w:r>
      <w:r w:rsidR="00C9185A">
        <w:rPr>
          <w:rFonts w:asciiTheme="minorHAnsi" w:hAnsiTheme="minorHAnsi"/>
        </w:rPr>
        <w:t>Mon</w:t>
      </w:r>
      <w:r w:rsidR="00DF4876">
        <w:rPr>
          <w:rFonts w:asciiTheme="minorHAnsi" w:hAnsiTheme="minorHAnsi"/>
        </w:rPr>
        <w:t>day</w:t>
      </w:r>
      <w:r w:rsidR="003C36D5" w:rsidRPr="00C13CCA">
        <w:rPr>
          <w:rFonts w:asciiTheme="minorHAnsi" w:hAnsiTheme="minorHAnsi"/>
        </w:rPr>
        <w:t xml:space="preserve">, </w:t>
      </w:r>
      <w:r w:rsidR="00AE49DB" w:rsidRPr="00C13CCA">
        <w:rPr>
          <w:rFonts w:asciiTheme="minorHAnsi" w:hAnsiTheme="minorHAnsi"/>
        </w:rPr>
        <w:t xml:space="preserve">November </w:t>
      </w:r>
      <w:r w:rsidR="00C9185A">
        <w:rPr>
          <w:rFonts w:asciiTheme="minorHAnsi" w:hAnsiTheme="minorHAnsi"/>
        </w:rPr>
        <w:t>3</w:t>
      </w:r>
      <w:r w:rsidR="00AE49DB" w:rsidRPr="00C13CCA">
        <w:rPr>
          <w:rFonts w:asciiTheme="minorHAnsi" w:hAnsiTheme="minorHAnsi"/>
        </w:rPr>
        <w:t>,</w:t>
      </w:r>
      <w:r w:rsidR="008F7F45">
        <w:rPr>
          <w:rFonts w:asciiTheme="minorHAnsi" w:hAnsiTheme="minorHAnsi"/>
        </w:rPr>
        <w:t xml:space="preserve"> </w:t>
      </w:r>
      <w:r w:rsidR="00DF4876" w:rsidRPr="00E8769F">
        <w:rPr>
          <w:rFonts w:asciiTheme="minorHAnsi" w:hAnsiTheme="minorHAnsi"/>
        </w:rPr>
        <w:t>202</w:t>
      </w:r>
      <w:r w:rsidR="00DA605D" w:rsidRPr="00E8769F">
        <w:rPr>
          <w:rFonts w:asciiTheme="minorHAnsi" w:hAnsiTheme="minorHAnsi"/>
        </w:rPr>
        <w:t>5</w:t>
      </w:r>
      <w:r w:rsidR="00B963AF">
        <w:rPr>
          <w:rFonts w:asciiTheme="minorHAnsi" w:hAnsiTheme="minorHAnsi"/>
        </w:rPr>
        <w:t xml:space="preserve">, pursuant to </w:t>
      </w:r>
      <w:r w:rsidR="00B963AF">
        <w:rPr>
          <w:rFonts w:asciiTheme="minorHAnsi" w:hAnsiTheme="minorHAnsi" w:cstheme="minorHAnsi"/>
        </w:rPr>
        <w:t>§</w:t>
      </w:r>
      <w:r w:rsidR="00B963AF">
        <w:rPr>
          <w:rFonts w:asciiTheme="minorHAnsi" w:hAnsiTheme="minorHAnsi"/>
        </w:rPr>
        <w:t>11.1(f)</w:t>
      </w:r>
      <w:r w:rsidR="000666F1">
        <w:rPr>
          <w:rFonts w:asciiTheme="minorHAnsi" w:hAnsiTheme="minorHAnsi"/>
        </w:rPr>
        <w:t xml:space="preserve">. </w:t>
      </w:r>
      <w:r w:rsidR="00271C6D">
        <w:rPr>
          <w:rFonts w:asciiTheme="minorHAnsi" w:hAnsiTheme="minorHAnsi"/>
        </w:rPr>
        <w:t>Section 11.1(f)</w:t>
      </w:r>
      <w:r w:rsidR="00B963AF">
        <w:rPr>
          <w:rFonts w:asciiTheme="minorHAnsi" w:hAnsiTheme="minorHAnsi"/>
        </w:rPr>
        <w:t xml:space="preserve"> extends the deadline in </w:t>
      </w:r>
      <w:r w:rsidR="003604EA">
        <w:rPr>
          <w:rFonts w:asciiTheme="minorHAnsi" w:hAnsiTheme="minorHAnsi" w:cstheme="minorHAnsi"/>
        </w:rPr>
        <w:t>§</w:t>
      </w:r>
      <w:r w:rsidR="003604EA">
        <w:rPr>
          <w:rFonts w:asciiTheme="minorHAnsi" w:hAnsiTheme="minorHAnsi"/>
        </w:rPr>
        <w:t xml:space="preserve">11.2 </w:t>
      </w:r>
      <w:r w:rsidR="00B963AF">
        <w:rPr>
          <w:rFonts w:asciiTheme="minorHAnsi" w:hAnsiTheme="minorHAnsi"/>
        </w:rPr>
        <w:t xml:space="preserve">from Saturday, </w:t>
      </w:r>
      <w:r w:rsidR="00057643">
        <w:rPr>
          <w:rFonts w:asciiTheme="minorHAnsi" w:hAnsiTheme="minorHAnsi"/>
        </w:rPr>
        <w:t>November 1</w:t>
      </w:r>
      <w:r w:rsidR="00B963AF">
        <w:rPr>
          <w:rFonts w:asciiTheme="minorHAnsi" w:hAnsiTheme="minorHAnsi"/>
        </w:rPr>
        <w:t xml:space="preserve">, to the </w:t>
      </w:r>
      <w:r w:rsidR="00FB3519">
        <w:rPr>
          <w:rFonts w:asciiTheme="minorHAnsi" w:hAnsiTheme="minorHAnsi"/>
        </w:rPr>
        <w:t>next business day</w:t>
      </w:r>
      <w:r w:rsidR="00B963AF">
        <w:rPr>
          <w:rFonts w:asciiTheme="minorHAnsi" w:hAnsiTheme="minorHAnsi"/>
        </w:rPr>
        <w:t>.</w:t>
      </w:r>
      <w:r w:rsidRPr="00C13CCA">
        <w:rPr>
          <w:rFonts w:asciiTheme="minorHAnsi" w:hAnsiTheme="minorHAnsi"/>
        </w:rPr>
        <w:t xml:space="preserve"> </w:t>
      </w:r>
      <w:r w:rsidR="00891867" w:rsidRPr="00C13CCA">
        <w:rPr>
          <w:rFonts w:asciiTheme="minorHAnsi" w:hAnsiTheme="minorHAnsi"/>
          <w:b/>
        </w:rPr>
        <w:t>Do not submit paper copies of the carryover package</w:t>
      </w:r>
      <w:r w:rsidR="00891867" w:rsidRPr="00C13CCA">
        <w:rPr>
          <w:rFonts w:asciiTheme="minorHAnsi" w:hAnsiTheme="minorHAnsi"/>
        </w:rPr>
        <w:t xml:space="preserve">. </w:t>
      </w:r>
      <w:r w:rsidR="00C13CCA" w:rsidRPr="00C13CCA">
        <w:rPr>
          <w:rFonts w:asciiTheme="minorHAnsi" w:hAnsiTheme="minorHAnsi"/>
        </w:rPr>
        <w:t>Development Owners will receive the C</w:t>
      </w:r>
      <w:r w:rsidR="008F7F45">
        <w:rPr>
          <w:rFonts w:asciiTheme="minorHAnsi" w:hAnsiTheme="minorHAnsi"/>
        </w:rPr>
        <w:t>AA</w:t>
      </w:r>
      <w:r w:rsidR="00C13CCA" w:rsidRPr="00C13CCA">
        <w:rPr>
          <w:rFonts w:asciiTheme="minorHAnsi" w:hAnsiTheme="minorHAnsi"/>
        </w:rPr>
        <w:t xml:space="preserve"> via Docu</w:t>
      </w:r>
      <w:r w:rsidR="008F7F45">
        <w:rPr>
          <w:rFonts w:asciiTheme="minorHAnsi" w:hAnsiTheme="minorHAnsi"/>
        </w:rPr>
        <w:t>S</w:t>
      </w:r>
      <w:r w:rsidR="00C13CCA" w:rsidRPr="00C13CCA">
        <w:rPr>
          <w:rFonts w:asciiTheme="minorHAnsi" w:hAnsiTheme="minorHAnsi"/>
        </w:rPr>
        <w:t>ign.</w:t>
      </w:r>
      <w:r w:rsidR="00F9145C" w:rsidRPr="00C13CCA">
        <w:rPr>
          <w:rFonts w:asciiTheme="minorHAnsi" w:hAnsiTheme="minorHAnsi"/>
        </w:rPr>
        <w:t xml:space="preserve"> Th</w:t>
      </w:r>
      <w:r w:rsidR="00B83EA4">
        <w:rPr>
          <w:rFonts w:asciiTheme="minorHAnsi" w:hAnsiTheme="minorHAnsi"/>
        </w:rPr>
        <w:t>e</w:t>
      </w:r>
      <w:r w:rsidR="00F9145C" w:rsidRPr="00C13CCA">
        <w:rPr>
          <w:rFonts w:asciiTheme="minorHAnsi" w:hAnsiTheme="minorHAnsi"/>
        </w:rPr>
        <w:t xml:space="preserve"> </w:t>
      </w:r>
      <w:r w:rsidR="003564EA" w:rsidRPr="00C13CCA">
        <w:rPr>
          <w:rFonts w:asciiTheme="minorHAnsi" w:hAnsiTheme="minorHAnsi"/>
        </w:rPr>
        <w:t xml:space="preserve">executed </w:t>
      </w:r>
      <w:r w:rsidR="00F9145C" w:rsidRPr="00C13CCA">
        <w:rPr>
          <w:rFonts w:asciiTheme="minorHAnsi" w:hAnsiTheme="minorHAnsi"/>
        </w:rPr>
        <w:t>CAA</w:t>
      </w:r>
      <w:r w:rsidR="00F56FC4" w:rsidRPr="00C13CCA">
        <w:rPr>
          <w:rFonts w:asciiTheme="minorHAnsi" w:hAnsiTheme="minorHAnsi"/>
        </w:rPr>
        <w:t xml:space="preserve"> </w:t>
      </w:r>
      <w:r w:rsidRPr="00C13CCA">
        <w:rPr>
          <w:rFonts w:asciiTheme="minorHAnsi" w:hAnsiTheme="minorHAnsi"/>
        </w:rPr>
        <w:t xml:space="preserve">must be delivered to the Department </w:t>
      </w:r>
      <w:r w:rsidR="00B83EA4">
        <w:rPr>
          <w:rFonts w:asciiTheme="minorHAnsi" w:hAnsiTheme="minorHAnsi"/>
        </w:rPr>
        <w:t>via Docu</w:t>
      </w:r>
      <w:r w:rsidR="008F7F45">
        <w:rPr>
          <w:rFonts w:asciiTheme="minorHAnsi" w:hAnsiTheme="minorHAnsi"/>
        </w:rPr>
        <w:t>S</w:t>
      </w:r>
      <w:r w:rsidR="00B83EA4">
        <w:rPr>
          <w:rFonts w:asciiTheme="minorHAnsi" w:hAnsiTheme="minorHAnsi"/>
        </w:rPr>
        <w:t xml:space="preserve">ign </w:t>
      </w:r>
      <w:r w:rsidR="00FA2B44" w:rsidRPr="00C13CCA">
        <w:rPr>
          <w:rFonts w:asciiTheme="minorHAnsi" w:hAnsiTheme="minorHAnsi"/>
        </w:rPr>
        <w:t>by</w:t>
      </w:r>
      <w:r w:rsidRPr="00C13CCA">
        <w:rPr>
          <w:rFonts w:asciiTheme="minorHAnsi" w:hAnsiTheme="minorHAnsi"/>
        </w:rPr>
        <w:t xml:space="preserve"> 5</w:t>
      </w:r>
      <w:r w:rsidR="00B736A6" w:rsidRPr="00C13CCA">
        <w:rPr>
          <w:rFonts w:asciiTheme="minorHAnsi" w:hAnsiTheme="minorHAnsi"/>
        </w:rPr>
        <w:t xml:space="preserve">:00 </w:t>
      </w:r>
      <w:r w:rsidRPr="00C13CCA">
        <w:rPr>
          <w:rFonts w:asciiTheme="minorHAnsi" w:hAnsiTheme="minorHAnsi"/>
        </w:rPr>
        <w:t>p</w:t>
      </w:r>
      <w:r w:rsidR="00B736A6" w:rsidRPr="00C13CCA">
        <w:rPr>
          <w:rFonts w:asciiTheme="minorHAnsi" w:hAnsiTheme="minorHAnsi"/>
        </w:rPr>
        <w:t>.</w:t>
      </w:r>
      <w:r w:rsidRPr="00C13CCA">
        <w:rPr>
          <w:rFonts w:asciiTheme="minorHAnsi" w:hAnsiTheme="minorHAnsi"/>
        </w:rPr>
        <w:t>m</w:t>
      </w:r>
      <w:r w:rsidR="00B736A6" w:rsidRPr="00C13CCA">
        <w:rPr>
          <w:rFonts w:asciiTheme="minorHAnsi" w:hAnsiTheme="minorHAnsi"/>
        </w:rPr>
        <w:t>.</w:t>
      </w:r>
      <w:r w:rsidRPr="00C13CCA">
        <w:rPr>
          <w:rFonts w:asciiTheme="minorHAnsi" w:hAnsiTheme="minorHAnsi"/>
        </w:rPr>
        <w:t xml:space="preserve">, </w:t>
      </w:r>
      <w:r w:rsidR="008F7F45">
        <w:rPr>
          <w:rFonts w:asciiTheme="minorHAnsi" w:hAnsiTheme="minorHAnsi"/>
        </w:rPr>
        <w:t>CDT</w:t>
      </w:r>
      <w:r w:rsidR="00503771">
        <w:rPr>
          <w:rFonts w:asciiTheme="minorHAnsi" w:hAnsiTheme="minorHAnsi"/>
        </w:rPr>
        <w:t>,</w:t>
      </w:r>
      <w:r w:rsidR="00B736A6" w:rsidRPr="00C13CCA">
        <w:rPr>
          <w:rFonts w:asciiTheme="minorHAnsi" w:hAnsiTheme="minorHAnsi"/>
        </w:rPr>
        <w:t xml:space="preserve"> </w:t>
      </w:r>
      <w:r w:rsidR="00C9185A">
        <w:rPr>
          <w:rFonts w:asciiTheme="minorHAnsi" w:hAnsiTheme="minorHAnsi"/>
        </w:rPr>
        <w:t>Mon</w:t>
      </w:r>
      <w:r w:rsidR="00DF4876">
        <w:rPr>
          <w:rFonts w:asciiTheme="minorHAnsi" w:hAnsiTheme="minorHAnsi"/>
        </w:rPr>
        <w:t>day</w:t>
      </w:r>
      <w:r w:rsidR="003C36D5" w:rsidRPr="00C13CCA">
        <w:rPr>
          <w:rFonts w:asciiTheme="minorHAnsi" w:hAnsiTheme="minorHAnsi"/>
        </w:rPr>
        <w:t xml:space="preserve">, </w:t>
      </w:r>
      <w:r w:rsidRPr="00C13CCA">
        <w:rPr>
          <w:rFonts w:asciiTheme="minorHAnsi" w:hAnsiTheme="minorHAnsi"/>
        </w:rPr>
        <w:t xml:space="preserve">November </w:t>
      </w:r>
      <w:r w:rsidR="00C9185A">
        <w:rPr>
          <w:rFonts w:asciiTheme="minorHAnsi" w:hAnsiTheme="minorHAnsi"/>
        </w:rPr>
        <w:t>3</w:t>
      </w:r>
      <w:r w:rsidRPr="00C13CCA">
        <w:rPr>
          <w:rFonts w:asciiTheme="minorHAnsi" w:hAnsiTheme="minorHAnsi"/>
        </w:rPr>
        <w:t xml:space="preserve">, </w:t>
      </w:r>
      <w:r w:rsidR="00DF4876" w:rsidRPr="00E8769F">
        <w:rPr>
          <w:rFonts w:asciiTheme="minorHAnsi" w:hAnsiTheme="minorHAnsi"/>
        </w:rPr>
        <w:t>202</w:t>
      </w:r>
      <w:r w:rsidR="007D6EFE" w:rsidRPr="00E8769F">
        <w:rPr>
          <w:rFonts w:asciiTheme="minorHAnsi" w:hAnsiTheme="minorHAnsi"/>
        </w:rPr>
        <w:t>5</w:t>
      </w:r>
      <w:r w:rsidR="00E621F5" w:rsidRPr="00C13CCA">
        <w:rPr>
          <w:rFonts w:asciiTheme="minorHAnsi" w:hAnsiTheme="minorHAnsi"/>
        </w:rPr>
        <w:t xml:space="preserve">, </w:t>
      </w:r>
      <w:r w:rsidR="003564EA" w:rsidRPr="00C13CCA">
        <w:rPr>
          <w:rFonts w:asciiTheme="minorHAnsi" w:hAnsiTheme="minorHAnsi"/>
        </w:rPr>
        <w:t>so that all parts of the carryover submission are in the Department’s possession by this deadline</w:t>
      </w:r>
      <w:r w:rsidR="00AE49DB" w:rsidRPr="00C13CCA">
        <w:rPr>
          <w:rFonts w:asciiTheme="minorHAnsi" w:hAnsiTheme="minorHAnsi"/>
        </w:rPr>
        <w:t>. These requirements are</w:t>
      </w:r>
      <w:r w:rsidR="0028155B" w:rsidRPr="00C13CCA">
        <w:rPr>
          <w:rFonts w:asciiTheme="minorHAnsi" w:hAnsiTheme="minorHAnsi"/>
        </w:rPr>
        <w:t xml:space="preserve"> </w:t>
      </w:r>
      <w:r w:rsidR="001F72E8" w:rsidRPr="00C13CCA">
        <w:rPr>
          <w:rFonts w:asciiTheme="minorHAnsi" w:hAnsiTheme="minorHAnsi"/>
        </w:rPr>
        <w:t xml:space="preserve">reflected </w:t>
      </w:r>
      <w:r w:rsidR="0028155B" w:rsidRPr="00C13CCA">
        <w:rPr>
          <w:rFonts w:asciiTheme="minorHAnsi" w:hAnsiTheme="minorHAnsi"/>
        </w:rPr>
        <w:t xml:space="preserve">in </w:t>
      </w:r>
      <w:r w:rsidR="00A47CFD" w:rsidRPr="00C13CCA">
        <w:rPr>
          <w:rFonts w:asciiTheme="minorHAnsi" w:hAnsiTheme="minorHAnsi"/>
        </w:rPr>
        <w:t xml:space="preserve">10 TAC </w:t>
      </w:r>
      <w:r w:rsidR="00FD6BAC" w:rsidRPr="00C13CCA">
        <w:rPr>
          <w:rFonts w:asciiTheme="minorHAnsi" w:hAnsiTheme="minorHAnsi" w:cs="Calibri"/>
        </w:rPr>
        <w:t xml:space="preserve">§11.2 and </w:t>
      </w:r>
      <w:r w:rsidR="00A47CFD" w:rsidRPr="00C13CCA">
        <w:rPr>
          <w:rFonts w:asciiTheme="minorHAnsi" w:hAnsiTheme="minorHAnsi" w:cs="Calibri"/>
        </w:rPr>
        <w:t xml:space="preserve">10 TAC </w:t>
      </w:r>
      <w:r w:rsidR="00A6405E">
        <w:rPr>
          <w:rFonts w:asciiTheme="minorHAnsi" w:hAnsiTheme="minorHAnsi" w:cstheme="minorHAnsi"/>
        </w:rPr>
        <w:t>§11.907</w:t>
      </w:r>
      <w:r w:rsidRPr="00C13CCA">
        <w:rPr>
          <w:rFonts w:asciiTheme="minorHAnsi" w:hAnsiTheme="minorHAnsi"/>
        </w:rPr>
        <w:t>.</w:t>
      </w:r>
    </w:p>
    <w:p w14:paraId="0650EB22" w14:textId="77777777" w:rsidR="00EF6EAA" w:rsidRDefault="00EF6EAA" w:rsidP="00A12719">
      <w:pPr>
        <w:jc w:val="both"/>
        <w:rPr>
          <w:rFonts w:asciiTheme="minorHAnsi" w:hAnsiTheme="minorHAnsi"/>
        </w:rPr>
      </w:pPr>
    </w:p>
    <w:p w14:paraId="2560F427" w14:textId="06875A01" w:rsidR="00E23F76" w:rsidRPr="00C13CCA" w:rsidRDefault="00503771" w:rsidP="00A12719">
      <w:pPr>
        <w:rPr>
          <w:rFonts w:asciiTheme="minorHAnsi" w:hAnsiTheme="minorHAnsi"/>
        </w:rPr>
      </w:pPr>
      <w:r>
        <w:rPr>
          <w:rFonts w:asciiTheme="minorHAnsi" w:hAnsiTheme="minorHAnsi"/>
        </w:rPr>
        <w:t>If a Carryover Allocation Agreement must be delivered on paper</w:t>
      </w:r>
      <w:r w:rsidR="00CB49E9">
        <w:rPr>
          <w:rFonts w:asciiTheme="minorHAnsi" w:hAnsiTheme="minorHAnsi"/>
        </w:rPr>
        <w:t xml:space="preserve"> instead of via Docu</w:t>
      </w:r>
      <w:r w:rsidR="00BD0272">
        <w:rPr>
          <w:rFonts w:asciiTheme="minorHAnsi" w:hAnsiTheme="minorHAnsi"/>
        </w:rPr>
        <w:t>S</w:t>
      </w:r>
      <w:r w:rsidR="00CB49E9">
        <w:rPr>
          <w:rFonts w:asciiTheme="minorHAnsi" w:hAnsiTheme="minorHAnsi"/>
        </w:rPr>
        <w:t>ign</w:t>
      </w:r>
      <w:r>
        <w:rPr>
          <w:rFonts w:asciiTheme="minorHAnsi" w:hAnsiTheme="minorHAnsi"/>
        </w:rPr>
        <w:t xml:space="preserve">, it must be delivered by 5:00 p.m., </w:t>
      </w:r>
      <w:r w:rsidR="00397CC3">
        <w:rPr>
          <w:rFonts w:asciiTheme="minorHAnsi" w:hAnsiTheme="minorHAnsi"/>
        </w:rPr>
        <w:t>CDT</w:t>
      </w:r>
      <w:r>
        <w:rPr>
          <w:rFonts w:asciiTheme="minorHAnsi" w:hAnsiTheme="minorHAnsi"/>
        </w:rPr>
        <w:t xml:space="preserve">, </w:t>
      </w:r>
      <w:r w:rsidR="00C9185A">
        <w:rPr>
          <w:rFonts w:asciiTheme="minorHAnsi" w:hAnsiTheme="minorHAnsi"/>
        </w:rPr>
        <w:t>Mon</w:t>
      </w:r>
      <w:r w:rsidR="00DF4876">
        <w:rPr>
          <w:rFonts w:asciiTheme="minorHAnsi" w:hAnsiTheme="minorHAnsi"/>
        </w:rPr>
        <w:t>day</w:t>
      </w:r>
      <w:r>
        <w:rPr>
          <w:rFonts w:asciiTheme="minorHAnsi" w:hAnsiTheme="minorHAnsi"/>
        </w:rPr>
        <w:t xml:space="preserve">, November </w:t>
      </w:r>
      <w:r w:rsidR="00C9185A">
        <w:rPr>
          <w:rFonts w:asciiTheme="minorHAnsi" w:hAnsiTheme="minorHAnsi"/>
        </w:rPr>
        <w:t>3</w:t>
      </w:r>
      <w:r>
        <w:rPr>
          <w:rFonts w:asciiTheme="minorHAnsi" w:hAnsiTheme="minorHAnsi"/>
        </w:rPr>
        <w:t xml:space="preserve">, </w:t>
      </w:r>
      <w:r w:rsidR="00DF4876" w:rsidRPr="00E8769F">
        <w:rPr>
          <w:rFonts w:asciiTheme="minorHAnsi" w:hAnsiTheme="minorHAnsi"/>
        </w:rPr>
        <w:t>202</w:t>
      </w:r>
      <w:r w:rsidR="00DA605D" w:rsidRPr="00E8769F">
        <w:rPr>
          <w:rFonts w:asciiTheme="minorHAnsi" w:hAnsiTheme="minorHAnsi"/>
        </w:rPr>
        <w:t>5</w:t>
      </w:r>
      <w:r>
        <w:rPr>
          <w:rFonts w:asciiTheme="minorHAnsi" w:hAnsiTheme="minorHAnsi"/>
        </w:rPr>
        <w:t xml:space="preserve">, and it must be the original </w:t>
      </w:r>
      <w:r w:rsidR="00E23F76" w:rsidRPr="00C13CCA">
        <w:rPr>
          <w:rFonts w:asciiTheme="minorHAnsi" w:hAnsiTheme="minorHAnsi"/>
        </w:rPr>
        <w:t>executed and</w:t>
      </w:r>
      <w:r w:rsidR="00BD14A6">
        <w:rPr>
          <w:rFonts w:asciiTheme="minorHAnsi" w:hAnsiTheme="minorHAnsi"/>
        </w:rPr>
        <w:t>, if applicable,</w:t>
      </w:r>
      <w:r w:rsidR="00E23F76" w:rsidRPr="00C13CCA">
        <w:rPr>
          <w:rFonts w:asciiTheme="minorHAnsi" w:hAnsiTheme="minorHAnsi"/>
        </w:rPr>
        <w:t xml:space="preserve"> notarized Carryover Allocation Agreement</w:t>
      </w:r>
      <w:r>
        <w:rPr>
          <w:rFonts w:asciiTheme="minorHAnsi" w:hAnsiTheme="minorHAnsi"/>
        </w:rPr>
        <w:t xml:space="preserve">. </w:t>
      </w:r>
      <w:r w:rsidR="00843D0D">
        <w:rPr>
          <w:rFonts w:asciiTheme="minorHAnsi" w:hAnsiTheme="minorHAnsi"/>
        </w:rPr>
        <w:t xml:space="preserve">The paper </w:t>
      </w:r>
      <w:r>
        <w:rPr>
          <w:rFonts w:asciiTheme="minorHAnsi" w:hAnsiTheme="minorHAnsi"/>
        </w:rPr>
        <w:t xml:space="preserve">document can be delivered </w:t>
      </w:r>
      <w:r w:rsidR="00CB49E9">
        <w:rPr>
          <w:rFonts w:asciiTheme="minorHAnsi" w:hAnsiTheme="minorHAnsi"/>
        </w:rPr>
        <w:t xml:space="preserve">to </w:t>
      </w:r>
      <w:r w:rsidR="00DF4876">
        <w:rPr>
          <w:rFonts w:asciiTheme="minorHAnsi" w:hAnsiTheme="minorHAnsi"/>
        </w:rPr>
        <w:t xml:space="preserve">one of </w:t>
      </w:r>
      <w:r w:rsidR="00CB49E9">
        <w:rPr>
          <w:rFonts w:asciiTheme="minorHAnsi" w:hAnsiTheme="minorHAnsi"/>
        </w:rPr>
        <w:t>the following addresses</w:t>
      </w:r>
      <w:r w:rsidR="00E23F76" w:rsidRPr="00C13CCA">
        <w:rPr>
          <w:rFonts w:asciiTheme="minorHAnsi" w:hAnsiTheme="minorHAnsi"/>
        </w:rPr>
        <w:t>:</w:t>
      </w:r>
    </w:p>
    <w:p w14:paraId="13833770" w14:textId="77777777" w:rsidR="00E23F76" w:rsidRPr="00C13CCA" w:rsidRDefault="00E23F76" w:rsidP="00FF0C7C">
      <w:pPr>
        <w:rPr>
          <w:rFonts w:asciiTheme="minorHAnsi" w:hAnsiTheme="minorHAnsi"/>
        </w:rPr>
      </w:pPr>
    </w:p>
    <w:p w14:paraId="2BF2912A" w14:textId="77777777" w:rsidR="001356E5" w:rsidRPr="00C13CCA" w:rsidRDefault="001356E5" w:rsidP="00FF0C7C">
      <w:pPr>
        <w:rPr>
          <w:rFonts w:asciiTheme="minorHAnsi" w:hAnsiTheme="minorHAnsi"/>
        </w:rPr>
      </w:pPr>
      <w:r w:rsidRPr="00C13CCA">
        <w:rPr>
          <w:rFonts w:asciiTheme="minorHAnsi" w:hAnsiTheme="minorHAnsi"/>
        </w:rPr>
        <w:t>Deliver To:</w:t>
      </w:r>
      <w:r w:rsidRPr="00C13CCA">
        <w:rPr>
          <w:rFonts w:asciiTheme="minorHAnsi" w:hAnsiTheme="minorHAnsi"/>
        </w:rPr>
        <w:tab/>
      </w:r>
      <w:r w:rsidRPr="00C13CCA">
        <w:rPr>
          <w:rFonts w:asciiTheme="minorHAnsi" w:hAnsiTheme="minorHAnsi"/>
        </w:rPr>
        <w:tab/>
      </w:r>
      <w:r w:rsidRPr="00C13CCA">
        <w:rPr>
          <w:rFonts w:asciiTheme="minorHAnsi" w:hAnsiTheme="minorHAnsi"/>
        </w:rPr>
        <w:tab/>
        <w:t>Multifamily Finance Division</w:t>
      </w:r>
    </w:p>
    <w:p w14:paraId="13B7CB0E" w14:textId="77777777" w:rsidR="001356E5" w:rsidRPr="00C13CCA" w:rsidRDefault="001356E5" w:rsidP="00FF0C7C">
      <w:pPr>
        <w:rPr>
          <w:rFonts w:asciiTheme="minorHAnsi" w:hAnsiTheme="minorHAnsi"/>
        </w:rPr>
      </w:pPr>
      <w:r w:rsidRPr="00C13CCA">
        <w:rPr>
          <w:rFonts w:asciiTheme="minorHAnsi" w:hAnsiTheme="minorHAnsi"/>
        </w:rPr>
        <w:t>(Overnight</w:t>
      </w:r>
      <w:r w:rsidR="002F37B1" w:rsidRPr="00C13CCA">
        <w:rPr>
          <w:rFonts w:asciiTheme="minorHAnsi" w:hAnsiTheme="minorHAnsi"/>
        </w:rPr>
        <w:t>/hand delivery</w:t>
      </w:r>
      <w:r w:rsidRPr="00C13CCA">
        <w:rPr>
          <w:rFonts w:asciiTheme="minorHAnsi" w:hAnsiTheme="minorHAnsi"/>
        </w:rPr>
        <w:t>)</w:t>
      </w:r>
      <w:r w:rsidRPr="00C13CCA">
        <w:rPr>
          <w:rFonts w:asciiTheme="minorHAnsi" w:hAnsiTheme="minorHAnsi"/>
        </w:rPr>
        <w:tab/>
        <w:t>Texas Department of Housing and Community Affairs</w:t>
      </w:r>
    </w:p>
    <w:p w14:paraId="0CF5A6EA" w14:textId="77777777" w:rsidR="001356E5" w:rsidRPr="00C13CCA" w:rsidRDefault="00E67A9E" w:rsidP="00FF0C7C">
      <w:pPr>
        <w:ind w:left="2880"/>
        <w:rPr>
          <w:rFonts w:asciiTheme="minorHAnsi" w:hAnsiTheme="minorHAnsi"/>
        </w:rPr>
      </w:pPr>
      <w:r w:rsidRPr="00C13CCA">
        <w:rPr>
          <w:rFonts w:asciiTheme="minorHAnsi" w:hAnsiTheme="minorHAnsi"/>
        </w:rPr>
        <w:t>221 East 11th Street</w:t>
      </w:r>
    </w:p>
    <w:p w14:paraId="471115C8" w14:textId="77777777" w:rsidR="001356E5" w:rsidRPr="00C13CCA" w:rsidRDefault="001356E5" w:rsidP="00FF0C7C">
      <w:pPr>
        <w:ind w:left="2880"/>
        <w:rPr>
          <w:rFonts w:asciiTheme="minorHAnsi" w:hAnsiTheme="minorHAnsi"/>
        </w:rPr>
      </w:pPr>
      <w:r w:rsidRPr="00C13CCA">
        <w:rPr>
          <w:rFonts w:asciiTheme="minorHAnsi" w:hAnsiTheme="minorHAnsi"/>
        </w:rPr>
        <w:t>Austin, Texas 78701</w:t>
      </w:r>
    </w:p>
    <w:p w14:paraId="757D6B07" w14:textId="77777777" w:rsidR="001356E5" w:rsidRPr="00C13CCA" w:rsidRDefault="001356E5" w:rsidP="00FF0C7C">
      <w:pPr>
        <w:rPr>
          <w:rFonts w:asciiTheme="minorHAnsi" w:hAnsiTheme="minorHAnsi"/>
        </w:rPr>
      </w:pPr>
    </w:p>
    <w:p w14:paraId="677FCF6C" w14:textId="7CC83DA1" w:rsidR="001356E5" w:rsidRPr="00EF6EAA" w:rsidRDefault="001356E5" w:rsidP="00EF6EAA">
      <w:pPr>
        <w:rPr>
          <w:rFonts w:asciiTheme="minorHAnsi" w:hAnsiTheme="minorHAnsi"/>
        </w:rPr>
      </w:pPr>
      <w:r w:rsidRPr="00C13CCA">
        <w:rPr>
          <w:rFonts w:asciiTheme="minorHAnsi" w:hAnsiTheme="minorHAnsi"/>
        </w:rPr>
        <w:t>Regular Mail:</w:t>
      </w:r>
      <w:r w:rsidRPr="00C13CCA">
        <w:rPr>
          <w:rFonts w:asciiTheme="minorHAnsi" w:hAnsiTheme="minorHAnsi"/>
        </w:rPr>
        <w:tab/>
      </w:r>
      <w:r w:rsidRPr="00C13CCA">
        <w:rPr>
          <w:rFonts w:asciiTheme="minorHAnsi" w:hAnsiTheme="minorHAnsi"/>
        </w:rPr>
        <w:tab/>
      </w:r>
      <w:r w:rsidRPr="00C13CCA">
        <w:rPr>
          <w:rFonts w:asciiTheme="minorHAnsi" w:hAnsiTheme="minorHAnsi"/>
        </w:rPr>
        <w:tab/>
        <w:t>P.O. Box 13941</w:t>
      </w:r>
    </w:p>
    <w:p w14:paraId="2D454105" w14:textId="77777777" w:rsidR="001356E5" w:rsidRPr="00C13CCA" w:rsidRDefault="001356E5" w:rsidP="00EF6EAA">
      <w:pPr>
        <w:rPr>
          <w:rFonts w:asciiTheme="minorHAnsi" w:hAnsiTheme="minorHAnsi"/>
        </w:rPr>
      </w:pPr>
      <w:r w:rsidRPr="00C13CCA">
        <w:rPr>
          <w:rFonts w:asciiTheme="minorHAnsi" w:hAnsiTheme="minorHAnsi"/>
        </w:rPr>
        <w:tab/>
      </w:r>
      <w:r w:rsidRPr="00C13CCA">
        <w:rPr>
          <w:rFonts w:asciiTheme="minorHAnsi" w:hAnsiTheme="minorHAnsi"/>
        </w:rPr>
        <w:tab/>
      </w:r>
      <w:r w:rsidRPr="00C13CCA">
        <w:rPr>
          <w:rFonts w:asciiTheme="minorHAnsi" w:hAnsiTheme="minorHAnsi"/>
        </w:rPr>
        <w:tab/>
      </w:r>
      <w:r w:rsidRPr="00C13CCA">
        <w:rPr>
          <w:rFonts w:asciiTheme="minorHAnsi" w:hAnsiTheme="minorHAnsi"/>
        </w:rPr>
        <w:tab/>
        <w:t>Austin, Texas 78711</w:t>
      </w:r>
    </w:p>
    <w:p w14:paraId="70D68BCC" w14:textId="77777777" w:rsidR="00397CC3" w:rsidRPr="00185263" w:rsidRDefault="00397CC3" w:rsidP="00185263">
      <w:pPr>
        <w:jc w:val="both"/>
        <w:rPr>
          <w:rFonts w:asciiTheme="minorHAnsi" w:hAnsiTheme="minorHAnsi"/>
        </w:rPr>
      </w:pPr>
    </w:p>
    <w:p w14:paraId="05DB880F" w14:textId="5FDEAF32" w:rsidR="004A72CC" w:rsidRDefault="002F37B1" w:rsidP="00FF0C7C">
      <w:pPr>
        <w:rPr>
          <w:rFonts w:asciiTheme="minorHAnsi" w:hAnsiTheme="minorHAnsi"/>
        </w:rPr>
      </w:pPr>
      <w:r w:rsidRPr="00C13CCA">
        <w:rPr>
          <w:rFonts w:asciiTheme="minorHAnsi" w:hAnsiTheme="minorHAnsi"/>
          <w:b/>
        </w:rPr>
        <w:t>WARNING</w:t>
      </w:r>
      <w:r w:rsidRPr="00C13CCA">
        <w:rPr>
          <w:rFonts w:asciiTheme="minorHAnsi" w:hAnsiTheme="minorHAnsi"/>
        </w:rPr>
        <w:t xml:space="preserve">:  Applicants sending the agreement via regular mail must account for </w:t>
      </w:r>
      <w:r w:rsidR="00271C6D">
        <w:rPr>
          <w:rFonts w:asciiTheme="minorHAnsi" w:hAnsiTheme="minorHAnsi"/>
        </w:rPr>
        <w:t xml:space="preserve">the </w:t>
      </w:r>
      <w:r w:rsidRPr="00C13CCA">
        <w:rPr>
          <w:rFonts w:asciiTheme="minorHAnsi" w:hAnsiTheme="minorHAnsi"/>
        </w:rPr>
        <w:t>additional delivery time required for delivery of mail to state offices.</w:t>
      </w:r>
    </w:p>
    <w:p w14:paraId="54DC2E0A" w14:textId="3DB0811B" w:rsidR="00E23F76" w:rsidRPr="00C13CCA" w:rsidRDefault="00E23F76" w:rsidP="00FF0C7C">
      <w:pPr>
        <w:rPr>
          <w:rFonts w:asciiTheme="minorHAnsi" w:hAnsiTheme="minorHAnsi"/>
        </w:rPr>
      </w:pPr>
    </w:p>
    <w:p w14:paraId="1DDF0B94" w14:textId="3E43D7F4" w:rsidR="001356E5" w:rsidRDefault="00E23F76" w:rsidP="005F4B0F">
      <w:pPr>
        <w:jc w:val="both"/>
        <w:rPr>
          <w:rFonts w:asciiTheme="minorHAnsi" w:hAnsiTheme="minorHAnsi"/>
        </w:rPr>
      </w:pPr>
      <w:r w:rsidRPr="00C13CCA">
        <w:rPr>
          <w:rFonts w:asciiTheme="minorHAnsi" w:hAnsiTheme="minorHAnsi"/>
        </w:rPr>
        <w:lastRenderedPageBreak/>
        <w:t xml:space="preserve">Submit the </w:t>
      </w:r>
      <w:r w:rsidR="00A47CFD" w:rsidRPr="00C13CCA">
        <w:rPr>
          <w:rFonts w:asciiTheme="minorHAnsi" w:hAnsiTheme="minorHAnsi"/>
        </w:rPr>
        <w:t>c</w:t>
      </w:r>
      <w:r w:rsidRPr="00C13CCA">
        <w:rPr>
          <w:rFonts w:asciiTheme="minorHAnsi" w:hAnsiTheme="minorHAnsi"/>
        </w:rPr>
        <w:t xml:space="preserve">arryover </w:t>
      </w:r>
      <w:r w:rsidR="00A47CFD" w:rsidRPr="00C13CCA">
        <w:rPr>
          <w:rFonts w:asciiTheme="minorHAnsi" w:hAnsiTheme="minorHAnsi"/>
        </w:rPr>
        <w:t>p</w:t>
      </w:r>
      <w:r w:rsidRPr="00C13CCA">
        <w:rPr>
          <w:rFonts w:asciiTheme="minorHAnsi" w:hAnsiTheme="minorHAnsi"/>
        </w:rPr>
        <w:t xml:space="preserve">ackage </w:t>
      </w:r>
      <w:r w:rsidR="0009764F" w:rsidRPr="00C13CCA">
        <w:rPr>
          <w:rFonts w:asciiTheme="minorHAnsi" w:hAnsiTheme="minorHAnsi"/>
        </w:rPr>
        <w:t xml:space="preserve">as an Acrobat (pdf) file. Staff cannot process </w:t>
      </w:r>
      <w:r w:rsidR="00662C27">
        <w:rPr>
          <w:rFonts w:asciiTheme="minorHAnsi" w:hAnsiTheme="minorHAnsi"/>
        </w:rPr>
        <w:t xml:space="preserve">carryover </w:t>
      </w:r>
      <w:r w:rsidR="00A47CFD" w:rsidRPr="00C13CCA">
        <w:rPr>
          <w:rFonts w:asciiTheme="minorHAnsi" w:hAnsiTheme="minorHAnsi"/>
        </w:rPr>
        <w:t xml:space="preserve">package </w:t>
      </w:r>
      <w:r w:rsidR="0009764F" w:rsidRPr="00C13CCA">
        <w:rPr>
          <w:rFonts w:asciiTheme="minorHAnsi" w:hAnsiTheme="minorHAnsi"/>
        </w:rPr>
        <w:t>submission</w:t>
      </w:r>
      <w:r w:rsidR="00A47CFD" w:rsidRPr="00C13CCA">
        <w:rPr>
          <w:rFonts w:asciiTheme="minorHAnsi" w:hAnsiTheme="minorHAnsi"/>
        </w:rPr>
        <w:t>s</w:t>
      </w:r>
      <w:r w:rsidR="0009764F" w:rsidRPr="00C13CCA">
        <w:rPr>
          <w:rFonts w:asciiTheme="minorHAnsi" w:hAnsiTheme="minorHAnsi"/>
        </w:rPr>
        <w:t xml:space="preserve"> </w:t>
      </w:r>
      <w:r w:rsidR="00662C27">
        <w:rPr>
          <w:rFonts w:asciiTheme="minorHAnsi" w:hAnsiTheme="minorHAnsi"/>
        </w:rPr>
        <w:t xml:space="preserve">that are </w:t>
      </w:r>
      <w:r w:rsidR="0009764F" w:rsidRPr="00C13CCA">
        <w:rPr>
          <w:rFonts w:asciiTheme="minorHAnsi" w:hAnsiTheme="minorHAnsi"/>
        </w:rPr>
        <w:t xml:space="preserve">on </w:t>
      </w:r>
      <w:r w:rsidRPr="00C13CCA">
        <w:rPr>
          <w:rFonts w:asciiTheme="minorHAnsi" w:hAnsiTheme="minorHAnsi"/>
        </w:rPr>
        <w:t>paper</w:t>
      </w:r>
      <w:r w:rsidR="0009764F" w:rsidRPr="00C13CCA">
        <w:rPr>
          <w:rFonts w:asciiTheme="minorHAnsi" w:hAnsiTheme="minorHAnsi"/>
        </w:rPr>
        <w:t>.</w:t>
      </w:r>
      <w:r w:rsidR="00417A27" w:rsidRPr="00C462E8">
        <w:rPr>
          <w:rFonts w:asciiTheme="minorHAnsi" w:hAnsiTheme="minorHAnsi"/>
        </w:rPr>
        <w:t xml:space="preserve"> </w:t>
      </w:r>
      <w:r w:rsidR="001356E5" w:rsidRPr="006B7A52">
        <w:rPr>
          <w:rFonts w:asciiTheme="minorHAnsi" w:hAnsiTheme="minorHAnsi"/>
        </w:rPr>
        <w:t xml:space="preserve">Please note that the Development Owner is responsible for </w:t>
      </w:r>
      <w:r w:rsidR="0005016E" w:rsidRPr="006B7A52">
        <w:rPr>
          <w:rFonts w:asciiTheme="minorHAnsi" w:hAnsiTheme="minorHAnsi"/>
        </w:rPr>
        <w:t xml:space="preserve">the timely </w:t>
      </w:r>
      <w:r w:rsidR="001356E5" w:rsidRPr="006B7A52">
        <w:rPr>
          <w:rFonts w:asciiTheme="minorHAnsi" w:hAnsiTheme="minorHAnsi"/>
        </w:rPr>
        <w:t xml:space="preserve">delivery of </w:t>
      </w:r>
      <w:r w:rsidR="0005016E" w:rsidRPr="006B7A52">
        <w:rPr>
          <w:rFonts w:asciiTheme="minorHAnsi" w:hAnsiTheme="minorHAnsi"/>
        </w:rPr>
        <w:t>complete</w:t>
      </w:r>
      <w:r w:rsidR="001356E5" w:rsidRPr="006B7A52">
        <w:rPr>
          <w:rFonts w:asciiTheme="minorHAnsi" w:hAnsiTheme="minorHAnsi"/>
        </w:rPr>
        <w:t xml:space="preserve"> </w:t>
      </w:r>
      <w:r w:rsidR="006561FD" w:rsidRPr="006B7A52">
        <w:rPr>
          <w:rFonts w:asciiTheme="minorHAnsi" w:hAnsiTheme="minorHAnsi"/>
        </w:rPr>
        <w:t>c</w:t>
      </w:r>
      <w:r w:rsidR="001356E5" w:rsidRPr="006B7A52">
        <w:rPr>
          <w:rFonts w:asciiTheme="minorHAnsi" w:hAnsiTheme="minorHAnsi"/>
        </w:rPr>
        <w:t>arryover documentation.</w:t>
      </w:r>
      <w:r w:rsidR="001356E5" w:rsidRPr="00C13CCA">
        <w:rPr>
          <w:rFonts w:asciiTheme="minorHAnsi" w:hAnsiTheme="minorHAnsi"/>
          <w:b/>
        </w:rPr>
        <w:t xml:space="preserve"> </w:t>
      </w:r>
      <w:r w:rsidR="001356E5" w:rsidRPr="006B7A52">
        <w:rPr>
          <w:rFonts w:asciiTheme="minorHAnsi" w:hAnsiTheme="minorHAnsi"/>
          <w:b/>
          <w:u w:val="single"/>
        </w:rPr>
        <w:t xml:space="preserve">Commitments for </w:t>
      </w:r>
      <w:r w:rsidR="005F6E93">
        <w:rPr>
          <w:rFonts w:asciiTheme="minorHAnsi" w:hAnsiTheme="minorHAnsi"/>
          <w:b/>
          <w:u w:val="single"/>
        </w:rPr>
        <w:t xml:space="preserve">housing tax </w:t>
      </w:r>
      <w:r w:rsidR="001356E5" w:rsidRPr="006B7A52">
        <w:rPr>
          <w:rFonts w:asciiTheme="minorHAnsi" w:hAnsiTheme="minorHAnsi"/>
          <w:b/>
          <w:u w:val="single"/>
        </w:rPr>
        <w:t xml:space="preserve">credits will be terminated if the </w:t>
      </w:r>
      <w:r w:rsidR="006561FD" w:rsidRPr="006B7A52">
        <w:rPr>
          <w:rFonts w:asciiTheme="minorHAnsi" w:hAnsiTheme="minorHAnsi"/>
          <w:b/>
          <w:u w:val="single"/>
        </w:rPr>
        <w:t>c</w:t>
      </w:r>
      <w:r w:rsidR="001356E5" w:rsidRPr="006B7A52">
        <w:rPr>
          <w:rFonts w:asciiTheme="minorHAnsi" w:hAnsiTheme="minorHAnsi"/>
          <w:b/>
          <w:u w:val="single"/>
        </w:rPr>
        <w:t>arryover documentation</w:t>
      </w:r>
      <w:r w:rsidR="00567972" w:rsidRPr="006B7A52">
        <w:rPr>
          <w:rFonts w:asciiTheme="minorHAnsi" w:hAnsiTheme="minorHAnsi"/>
          <w:b/>
          <w:u w:val="single"/>
        </w:rPr>
        <w:t xml:space="preserve"> </w:t>
      </w:r>
      <w:r w:rsidR="00631233" w:rsidRPr="006B7A52">
        <w:rPr>
          <w:rFonts w:asciiTheme="minorHAnsi" w:hAnsiTheme="minorHAnsi"/>
          <w:b/>
          <w:u w:val="single"/>
        </w:rPr>
        <w:t xml:space="preserve">is </w:t>
      </w:r>
      <w:r w:rsidR="001356E5" w:rsidRPr="006B7A52">
        <w:rPr>
          <w:rFonts w:asciiTheme="minorHAnsi" w:hAnsiTheme="minorHAnsi"/>
          <w:b/>
          <w:u w:val="single"/>
        </w:rPr>
        <w:t>not received by</w:t>
      </w:r>
      <w:r w:rsidR="00E86F3C">
        <w:rPr>
          <w:rFonts w:asciiTheme="minorHAnsi" w:hAnsiTheme="minorHAnsi"/>
          <w:b/>
          <w:u w:val="single"/>
        </w:rPr>
        <w:t xml:space="preserve"> 5</w:t>
      </w:r>
      <w:r w:rsidR="003D3A18">
        <w:rPr>
          <w:rFonts w:asciiTheme="minorHAnsi" w:hAnsiTheme="minorHAnsi"/>
          <w:b/>
          <w:u w:val="single"/>
        </w:rPr>
        <w:t xml:space="preserve"> </w:t>
      </w:r>
      <w:r w:rsidR="00E86F3C">
        <w:rPr>
          <w:rFonts w:asciiTheme="minorHAnsi" w:hAnsiTheme="minorHAnsi"/>
          <w:b/>
          <w:u w:val="single"/>
        </w:rPr>
        <w:t>p</w:t>
      </w:r>
      <w:r w:rsidR="003D3A18">
        <w:rPr>
          <w:rFonts w:asciiTheme="minorHAnsi" w:hAnsiTheme="minorHAnsi"/>
          <w:b/>
          <w:u w:val="single"/>
        </w:rPr>
        <w:t>.</w:t>
      </w:r>
      <w:r w:rsidR="00E86F3C">
        <w:rPr>
          <w:rFonts w:asciiTheme="minorHAnsi" w:hAnsiTheme="minorHAnsi"/>
          <w:b/>
          <w:u w:val="single"/>
        </w:rPr>
        <w:t>m</w:t>
      </w:r>
      <w:r w:rsidR="003D3A18">
        <w:rPr>
          <w:rFonts w:asciiTheme="minorHAnsi" w:hAnsiTheme="minorHAnsi"/>
          <w:b/>
          <w:u w:val="single"/>
        </w:rPr>
        <w:t>.,</w:t>
      </w:r>
      <w:r w:rsidR="00E86F3C">
        <w:rPr>
          <w:rFonts w:asciiTheme="minorHAnsi" w:hAnsiTheme="minorHAnsi"/>
          <w:b/>
          <w:u w:val="single"/>
        </w:rPr>
        <w:t xml:space="preserve"> C</w:t>
      </w:r>
      <w:r w:rsidR="00ED31FA">
        <w:rPr>
          <w:rFonts w:asciiTheme="minorHAnsi" w:hAnsiTheme="minorHAnsi"/>
          <w:b/>
          <w:u w:val="single"/>
        </w:rPr>
        <w:t>D</w:t>
      </w:r>
      <w:r w:rsidR="00E86F3C">
        <w:rPr>
          <w:rFonts w:asciiTheme="minorHAnsi" w:hAnsiTheme="minorHAnsi"/>
          <w:b/>
          <w:u w:val="single"/>
        </w:rPr>
        <w:t>T</w:t>
      </w:r>
      <w:r w:rsidR="003D3A18">
        <w:rPr>
          <w:rFonts w:asciiTheme="minorHAnsi" w:hAnsiTheme="minorHAnsi"/>
          <w:b/>
          <w:u w:val="single"/>
        </w:rPr>
        <w:t>,</w:t>
      </w:r>
      <w:r w:rsidR="00733D73">
        <w:rPr>
          <w:rFonts w:asciiTheme="minorHAnsi" w:hAnsiTheme="minorHAnsi"/>
          <w:b/>
          <w:u w:val="single"/>
        </w:rPr>
        <w:t xml:space="preserve"> </w:t>
      </w:r>
      <w:r w:rsidR="00C9185A">
        <w:rPr>
          <w:rFonts w:asciiTheme="minorHAnsi" w:hAnsiTheme="minorHAnsi"/>
          <w:b/>
          <w:u w:val="single"/>
        </w:rPr>
        <w:t>Mond</w:t>
      </w:r>
      <w:r w:rsidR="00DF4876">
        <w:rPr>
          <w:rFonts w:asciiTheme="minorHAnsi" w:hAnsiTheme="minorHAnsi"/>
          <w:b/>
          <w:u w:val="single"/>
        </w:rPr>
        <w:t>ay</w:t>
      </w:r>
      <w:r w:rsidR="003001C9" w:rsidRPr="006B7A52">
        <w:rPr>
          <w:rFonts w:asciiTheme="minorHAnsi" w:hAnsiTheme="minorHAnsi"/>
          <w:b/>
          <w:u w:val="single"/>
        </w:rPr>
        <w:t xml:space="preserve">, </w:t>
      </w:r>
      <w:r w:rsidR="00AE49DB" w:rsidRPr="006B7A52">
        <w:rPr>
          <w:rFonts w:asciiTheme="minorHAnsi" w:hAnsiTheme="minorHAnsi"/>
          <w:b/>
          <w:u w:val="single"/>
        </w:rPr>
        <w:t xml:space="preserve">November </w:t>
      </w:r>
      <w:r w:rsidR="00C9185A">
        <w:rPr>
          <w:rFonts w:asciiTheme="minorHAnsi" w:hAnsiTheme="minorHAnsi"/>
          <w:b/>
          <w:u w:val="single"/>
        </w:rPr>
        <w:t>3</w:t>
      </w:r>
      <w:r w:rsidR="00BC3CE1" w:rsidRPr="006B7A52">
        <w:rPr>
          <w:rFonts w:asciiTheme="minorHAnsi" w:hAnsiTheme="minorHAnsi"/>
          <w:b/>
          <w:u w:val="single"/>
        </w:rPr>
        <w:t xml:space="preserve">, </w:t>
      </w:r>
      <w:r w:rsidR="00DF4876" w:rsidRPr="00E8769F">
        <w:rPr>
          <w:rFonts w:asciiTheme="minorHAnsi" w:hAnsiTheme="minorHAnsi"/>
          <w:b/>
          <w:u w:val="single"/>
        </w:rPr>
        <w:t>202</w:t>
      </w:r>
      <w:r w:rsidR="00DA605D" w:rsidRPr="00E8769F">
        <w:rPr>
          <w:rFonts w:asciiTheme="minorHAnsi" w:hAnsiTheme="minorHAnsi"/>
          <w:b/>
          <w:u w:val="single"/>
        </w:rPr>
        <w:t>5</w:t>
      </w:r>
      <w:r w:rsidR="00DF4876" w:rsidRPr="00E8769F">
        <w:rPr>
          <w:rFonts w:asciiTheme="minorHAnsi" w:hAnsiTheme="minorHAnsi"/>
          <w:b/>
          <w:u w:val="single"/>
        </w:rPr>
        <w:t xml:space="preserve"> </w:t>
      </w:r>
      <w:r w:rsidR="00E94283" w:rsidRPr="006B7A52">
        <w:rPr>
          <w:rFonts w:asciiTheme="minorHAnsi" w:hAnsiTheme="minorHAnsi"/>
          <w:b/>
          <w:u w:val="single"/>
        </w:rPr>
        <w:t>[</w:t>
      </w:r>
      <w:r w:rsidR="00FB3519">
        <w:rPr>
          <w:rFonts w:asciiTheme="minorHAnsi" w:hAnsiTheme="minorHAnsi"/>
          <w:b/>
          <w:u w:val="single"/>
        </w:rPr>
        <w:t xml:space="preserve">pursuant to </w:t>
      </w:r>
      <w:r w:rsidR="00E94283" w:rsidRPr="006B7A52">
        <w:rPr>
          <w:rFonts w:asciiTheme="minorHAnsi" w:hAnsiTheme="minorHAnsi" w:cstheme="minorHAnsi"/>
          <w:b/>
          <w:u w:val="single"/>
        </w:rPr>
        <w:t>§</w:t>
      </w:r>
      <w:r w:rsidR="00E94283" w:rsidRPr="006B7A52">
        <w:rPr>
          <w:rFonts w:asciiTheme="minorHAnsi" w:hAnsiTheme="minorHAnsi"/>
          <w:b/>
          <w:u w:val="single"/>
        </w:rPr>
        <w:t>11.</w:t>
      </w:r>
      <w:r w:rsidR="00FB3519">
        <w:rPr>
          <w:rFonts w:asciiTheme="minorHAnsi" w:hAnsiTheme="minorHAnsi"/>
          <w:b/>
          <w:u w:val="single"/>
        </w:rPr>
        <w:t>1(f)</w:t>
      </w:r>
      <w:r w:rsidR="008A2514">
        <w:rPr>
          <w:rFonts w:asciiTheme="minorHAnsi" w:hAnsiTheme="minorHAnsi"/>
          <w:b/>
          <w:u w:val="single"/>
        </w:rPr>
        <w:t xml:space="preserve"> </w:t>
      </w:r>
      <w:r w:rsidR="00FB3519">
        <w:rPr>
          <w:rFonts w:asciiTheme="minorHAnsi" w:hAnsiTheme="minorHAnsi"/>
          <w:b/>
          <w:u w:val="single"/>
        </w:rPr>
        <w:t xml:space="preserve">that extends </w:t>
      </w:r>
      <w:r w:rsidR="00FE0161" w:rsidRPr="006B7A52">
        <w:rPr>
          <w:rFonts w:asciiTheme="minorHAnsi" w:hAnsiTheme="minorHAnsi" w:cstheme="minorHAnsi"/>
          <w:b/>
          <w:u w:val="single"/>
        </w:rPr>
        <w:t>§</w:t>
      </w:r>
      <w:r w:rsidR="00FE0161" w:rsidRPr="006B7A52">
        <w:rPr>
          <w:rFonts w:asciiTheme="minorHAnsi" w:hAnsiTheme="minorHAnsi"/>
          <w:b/>
          <w:u w:val="single"/>
        </w:rPr>
        <w:t>11.</w:t>
      </w:r>
      <w:r w:rsidR="00FB3519">
        <w:rPr>
          <w:rFonts w:asciiTheme="minorHAnsi" w:hAnsiTheme="minorHAnsi"/>
          <w:b/>
          <w:u w:val="single"/>
        </w:rPr>
        <w:t>2</w:t>
      </w:r>
      <w:r w:rsidR="00E94283" w:rsidRPr="006B7A52">
        <w:rPr>
          <w:rFonts w:asciiTheme="minorHAnsi" w:hAnsiTheme="minorHAnsi"/>
          <w:b/>
          <w:u w:val="single"/>
        </w:rPr>
        <w:t>]</w:t>
      </w:r>
      <w:r w:rsidR="00BC3CE1" w:rsidRPr="006B7A52">
        <w:rPr>
          <w:rFonts w:asciiTheme="minorHAnsi" w:hAnsiTheme="minorHAnsi"/>
          <w:b/>
          <w:u w:val="single"/>
        </w:rPr>
        <w:t>,</w:t>
      </w:r>
      <w:r w:rsidR="001356E5" w:rsidRPr="006B7A52">
        <w:rPr>
          <w:rFonts w:asciiTheme="minorHAnsi" w:hAnsiTheme="minorHAnsi"/>
          <w:b/>
          <w:u w:val="single"/>
        </w:rPr>
        <w:t xml:space="preserve"> </w:t>
      </w:r>
      <w:r w:rsidR="00E94283" w:rsidRPr="006B7A52">
        <w:rPr>
          <w:rFonts w:asciiTheme="minorHAnsi" w:hAnsiTheme="minorHAnsi"/>
          <w:b/>
          <w:u w:val="single"/>
        </w:rPr>
        <w:t xml:space="preserve">unless </w:t>
      </w:r>
      <w:r w:rsidR="00B736A6" w:rsidRPr="006B7A52">
        <w:rPr>
          <w:rFonts w:asciiTheme="minorHAnsi" w:hAnsiTheme="minorHAnsi"/>
          <w:b/>
          <w:u w:val="single"/>
        </w:rPr>
        <w:t>an extension has been approved</w:t>
      </w:r>
      <w:r w:rsidR="001356E5" w:rsidRPr="006B7A52">
        <w:rPr>
          <w:rFonts w:asciiTheme="minorHAnsi" w:hAnsiTheme="minorHAnsi"/>
          <w:b/>
          <w:u w:val="single"/>
        </w:rPr>
        <w:t>.</w:t>
      </w:r>
      <w:r w:rsidR="001356E5" w:rsidRPr="00C13CCA">
        <w:rPr>
          <w:rFonts w:asciiTheme="minorHAnsi" w:hAnsiTheme="minorHAnsi"/>
          <w:b/>
        </w:rPr>
        <w:t xml:space="preserve"> </w:t>
      </w:r>
      <w:r w:rsidR="0005016E" w:rsidRPr="00C13CCA">
        <w:rPr>
          <w:rFonts w:asciiTheme="minorHAnsi" w:hAnsiTheme="minorHAnsi"/>
        </w:rPr>
        <w:t xml:space="preserve">The termination of a </w:t>
      </w:r>
      <w:r w:rsidR="00662C27">
        <w:rPr>
          <w:rFonts w:asciiTheme="minorHAnsi" w:hAnsiTheme="minorHAnsi"/>
        </w:rPr>
        <w:t>c</w:t>
      </w:r>
      <w:r w:rsidR="0005016E" w:rsidRPr="00C13CCA">
        <w:rPr>
          <w:rFonts w:asciiTheme="minorHAnsi" w:hAnsiTheme="minorHAnsi"/>
        </w:rPr>
        <w:t xml:space="preserve">ommitment is </w:t>
      </w:r>
      <w:r w:rsidR="00E815F6">
        <w:rPr>
          <w:rFonts w:asciiTheme="minorHAnsi" w:hAnsiTheme="minorHAnsi"/>
        </w:rPr>
        <w:t>subject to appeal directly to the Board</w:t>
      </w:r>
      <w:r w:rsidR="00644B39">
        <w:rPr>
          <w:rFonts w:asciiTheme="minorHAnsi" w:hAnsiTheme="minorHAnsi"/>
        </w:rPr>
        <w:t xml:space="preserve">, and if </w:t>
      </w:r>
      <w:proofErr w:type="gramStart"/>
      <w:r w:rsidR="00A63636">
        <w:rPr>
          <w:rFonts w:asciiTheme="minorHAnsi" w:hAnsiTheme="minorHAnsi"/>
        </w:rPr>
        <w:t>so</w:t>
      </w:r>
      <w:proofErr w:type="gramEnd"/>
      <w:r w:rsidR="00A63636">
        <w:rPr>
          <w:rFonts w:asciiTheme="minorHAnsi" w:hAnsiTheme="minorHAnsi"/>
        </w:rPr>
        <w:t xml:space="preserve"> </w:t>
      </w:r>
      <w:r w:rsidR="00644B39">
        <w:rPr>
          <w:rFonts w:asciiTheme="minorHAnsi" w:hAnsiTheme="minorHAnsi"/>
        </w:rPr>
        <w:t>determined by the Board, immediately upon final termination by the Board, staff is directed to award the credits to other qualified Applicants on the approved waiting list</w:t>
      </w:r>
      <w:r w:rsidR="00E94283">
        <w:rPr>
          <w:rFonts w:asciiTheme="minorHAnsi" w:hAnsiTheme="minorHAnsi"/>
        </w:rPr>
        <w:t xml:space="preserve"> </w:t>
      </w:r>
      <w:r w:rsidR="00E94283">
        <w:rPr>
          <w:rFonts w:asciiTheme="minorHAnsi" w:hAnsiTheme="minorHAnsi"/>
          <w:u w:val="single"/>
        </w:rPr>
        <w:t>[</w:t>
      </w:r>
      <w:r w:rsidR="00E94283">
        <w:rPr>
          <w:rFonts w:asciiTheme="minorHAnsi" w:hAnsiTheme="minorHAnsi" w:cstheme="minorHAnsi"/>
          <w:u w:val="single"/>
        </w:rPr>
        <w:t>§</w:t>
      </w:r>
      <w:r w:rsidR="00E94283">
        <w:rPr>
          <w:rFonts w:asciiTheme="minorHAnsi" w:hAnsiTheme="minorHAnsi"/>
          <w:u w:val="single"/>
        </w:rPr>
        <w:t>11.907(1)]</w:t>
      </w:r>
      <w:r w:rsidR="0005016E" w:rsidRPr="00C13CCA">
        <w:rPr>
          <w:rFonts w:asciiTheme="minorHAnsi" w:hAnsiTheme="minorHAnsi"/>
        </w:rPr>
        <w:t>.</w:t>
      </w:r>
    </w:p>
    <w:p w14:paraId="3978B2D2" w14:textId="77777777" w:rsidR="005F4B0F" w:rsidRDefault="005F4B0F" w:rsidP="005F4B0F">
      <w:pPr>
        <w:jc w:val="both"/>
        <w:rPr>
          <w:rFonts w:asciiTheme="minorHAnsi" w:hAnsiTheme="minorHAnsi"/>
        </w:rPr>
      </w:pPr>
    </w:p>
    <w:p w14:paraId="13F618A9" w14:textId="3A8DE4FF" w:rsidR="005F4B0F" w:rsidRPr="0094685A" w:rsidRDefault="005F4B0F" w:rsidP="005F4B0F">
      <w:pPr>
        <w:jc w:val="both"/>
        <w:rPr>
          <w:rFonts w:asciiTheme="minorHAnsi" w:hAnsiTheme="minorHAnsi"/>
          <w:b/>
          <w:bCs/>
          <w:color w:val="FFFFFF"/>
          <w:highlight w:val="black"/>
        </w:rPr>
      </w:pPr>
      <w:r w:rsidRPr="0094685A">
        <w:rPr>
          <w:rFonts w:asciiTheme="minorHAnsi" w:hAnsiTheme="minorHAnsi"/>
          <w:b/>
          <w:bCs/>
          <w:color w:val="FFFFFF"/>
          <w:highlight w:val="black"/>
        </w:rPr>
        <w:t>Instructions for Completing the Carryover Allocation Submission Package</w:t>
      </w:r>
    </w:p>
    <w:p w14:paraId="7F8BA22B" w14:textId="77777777" w:rsidR="00257EEE" w:rsidRDefault="00257EEE" w:rsidP="002D676D">
      <w:pPr>
        <w:jc w:val="both"/>
        <w:rPr>
          <w:rFonts w:asciiTheme="minorHAnsi" w:hAnsiTheme="minorHAnsi"/>
        </w:rPr>
      </w:pPr>
    </w:p>
    <w:p w14:paraId="7A5D858F" w14:textId="2CCD82A9" w:rsidR="001356E5" w:rsidRPr="00C13CCA" w:rsidRDefault="001356E5" w:rsidP="002D676D">
      <w:pPr>
        <w:jc w:val="both"/>
        <w:rPr>
          <w:rFonts w:asciiTheme="minorHAnsi" w:hAnsiTheme="minorHAnsi"/>
        </w:rPr>
      </w:pPr>
      <w:r w:rsidRPr="00C13CCA">
        <w:rPr>
          <w:rFonts w:asciiTheme="minorHAnsi" w:hAnsiTheme="minorHAnsi"/>
        </w:rPr>
        <w:t xml:space="preserve">All </w:t>
      </w:r>
      <w:r w:rsidR="00772B81" w:rsidRPr="00C13CCA">
        <w:rPr>
          <w:rFonts w:asciiTheme="minorHAnsi" w:hAnsiTheme="minorHAnsi"/>
        </w:rPr>
        <w:t>carryover allocations</w:t>
      </w:r>
      <w:r w:rsidRPr="00C13CCA">
        <w:rPr>
          <w:rFonts w:asciiTheme="minorHAnsi" w:hAnsiTheme="minorHAnsi"/>
        </w:rPr>
        <w:t xml:space="preserve"> of </w:t>
      </w:r>
      <w:r w:rsidR="00DF4876" w:rsidRPr="00E8769F">
        <w:rPr>
          <w:rFonts w:asciiTheme="minorHAnsi" w:hAnsiTheme="minorHAnsi"/>
        </w:rPr>
        <w:t>202</w:t>
      </w:r>
      <w:r w:rsidR="00DA605D" w:rsidRPr="00E8769F">
        <w:rPr>
          <w:rFonts w:asciiTheme="minorHAnsi" w:hAnsiTheme="minorHAnsi"/>
        </w:rPr>
        <w:t>5</w:t>
      </w:r>
      <w:r w:rsidR="002A4630" w:rsidRPr="00E8769F">
        <w:rPr>
          <w:rFonts w:asciiTheme="minorHAnsi" w:hAnsiTheme="minorHAnsi"/>
        </w:rPr>
        <w:t xml:space="preserve"> </w:t>
      </w:r>
      <w:r w:rsidRPr="00C13CCA">
        <w:rPr>
          <w:rFonts w:asciiTheme="minorHAnsi" w:hAnsiTheme="minorHAnsi"/>
        </w:rPr>
        <w:t>housing tax credits require</w:t>
      </w:r>
      <w:r w:rsidR="00D9644E">
        <w:rPr>
          <w:rFonts w:asciiTheme="minorHAnsi" w:hAnsiTheme="minorHAnsi"/>
        </w:rPr>
        <w:t xml:space="preserve"> the</w:t>
      </w:r>
      <w:r w:rsidRPr="00C13CCA">
        <w:rPr>
          <w:rFonts w:asciiTheme="minorHAnsi" w:hAnsiTheme="minorHAnsi"/>
        </w:rPr>
        <w:t xml:space="preserve"> use </w:t>
      </w:r>
      <w:r w:rsidR="00772B81" w:rsidRPr="00C13CCA">
        <w:rPr>
          <w:rFonts w:asciiTheme="minorHAnsi" w:hAnsiTheme="minorHAnsi"/>
        </w:rPr>
        <w:t>of</w:t>
      </w:r>
      <w:r w:rsidRPr="00C13CCA">
        <w:rPr>
          <w:rFonts w:asciiTheme="minorHAnsi" w:hAnsiTheme="minorHAnsi"/>
        </w:rPr>
        <w:t xml:space="preserve"> </w:t>
      </w:r>
      <w:r w:rsidR="00DF4876" w:rsidRPr="00E8769F">
        <w:rPr>
          <w:rFonts w:asciiTheme="minorHAnsi" w:hAnsiTheme="minorHAnsi"/>
        </w:rPr>
        <w:t>202</w:t>
      </w:r>
      <w:r w:rsidR="00DA605D" w:rsidRPr="00E8769F">
        <w:rPr>
          <w:rFonts w:asciiTheme="minorHAnsi" w:hAnsiTheme="minorHAnsi"/>
        </w:rPr>
        <w:t>5</w:t>
      </w:r>
      <w:r w:rsidR="002A4630" w:rsidRPr="00E8769F">
        <w:rPr>
          <w:rFonts w:asciiTheme="minorHAnsi" w:hAnsiTheme="minorHAnsi"/>
        </w:rPr>
        <w:t xml:space="preserve"> </w:t>
      </w:r>
      <w:r w:rsidR="006561FD" w:rsidRPr="00C13CCA">
        <w:rPr>
          <w:rFonts w:asciiTheme="minorHAnsi" w:hAnsiTheme="minorHAnsi"/>
        </w:rPr>
        <w:t>c</w:t>
      </w:r>
      <w:r w:rsidRPr="00C13CCA">
        <w:rPr>
          <w:rFonts w:asciiTheme="minorHAnsi" w:hAnsiTheme="minorHAnsi"/>
        </w:rPr>
        <w:t xml:space="preserve">arryover forms </w:t>
      </w:r>
      <w:r w:rsidR="0006462C" w:rsidRPr="00C13CCA">
        <w:rPr>
          <w:rFonts w:asciiTheme="minorHAnsi" w:hAnsiTheme="minorHAnsi"/>
        </w:rPr>
        <w:t xml:space="preserve">in the </w:t>
      </w:r>
      <w:r w:rsidR="00DF4876">
        <w:rPr>
          <w:rFonts w:asciiTheme="minorHAnsi" w:hAnsiTheme="minorHAnsi"/>
        </w:rPr>
        <w:t>202</w:t>
      </w:r>
      <w:r w:rsidR="00C9185A">
        <w:rPr>
          <w:rFonts w:asciiTheme="minorHAnsi" w:hAnsiTheme="minorHAnsi"/>
        </w:rPr>
        <w:t>5</w:t>
      </w:r>
      <w:r w:rsidR="002A4630" w:rsidRPr="00C13CCA">
        <w:rPr>
          <w:rFonts w:asciiTheme="minorHAnsi" w:hAnsiTheme="minorHAnsi"/>
        </w:rPr>
        <w:t xml:space="preserve"> </w:t>
      </w:r>
      <w:r w:rsidR="001325E9" w:rsidRPr="00C13CCA">
        <w:rPr>
          <w:rFonts w:asciiTheme="minorHAnsi" w:hAnsiTheme="minorHAnsi"/>
        </w:rPr>
        <w:t>C</w:t>
      </w:r>
      <w:r w:rsidR="0006462C" w:rsidRPr="00C13CCA">
        <w:rPr>
          <w:rFonts w:asciiTheme="minorHAnsi" w:hAnsiTheme="minorHAnsi"/>
        </w:rPr>
        <w:t xml:space="preserve">arryover </w:t>
      </w:r>
      <w:r w:rsidR="001325E9" w:rsidRPr="00C13CCA">
        <w:rPr>
          <w:rFonts w:asciiTheme="minorHAnsi" w:hAnsiTheme="minorHAnsi"/>
        </w:rPr>
        <w:t>Allocation Submission P</w:t>
      </w:r>
      <w:r w:rsidR="0006462C" w:rsidRPr="00C13CCA">
        <w:rPr>
          <w:rFonts w:asciiTheme="minorHAnsi" w:hAnsiTheme="minorHAnsi"/>
        </w:rPr>
        <w:t>ackage</w:t>
      </w:r>
      <w:r w:rsidR="00D14BE3" w:rsidRPr="00C13CCA">
        <w:rPr>
          <w:rFonts w:asciiTheme="minorHAnsi" w:hAnsiTheme="minorHAnsi"/>
        </w:rPr>
        <w:t>. There is a link to this package</w:t>
      </w:r>
      <w:r w:rsidR="0006462C" w:rsidRPr="00C13CCA">
        <w:rPr>
          <w:rFonts w:asciiTheme="minorHAnsi" w:hAnsiTheme="minorHAnsi"/>
        </w:rPr>
        <w:t xml:space="preserve"> on the </w:t>
      </w:r>
      <w:r w:rsidR="00F80364" w:rsidRPr="00C13CCA">
        <w:rPr>
          <w:rFonts w:asciiTheme="minorHAnsi" w:hAnsiTheme="minorHAnsi"/>
        </w:rPr>
        <w:t xml:space="preserve">Competitive (9%) Housing Tax Credits </w:t>
      </w:r>
      <w:r w:rsidR="00D14BE3" w:rsidRPr="00C13CCA">
        <w:rPr>
          <w:rFonts w:asciiTheme="minorHAnsi" w:hAnsiTheme="minorHAnsi"/>
        </w:rPr>
        <w:t xml:space="preserve">page </w:t>
      </w:r>
      <w:r w:rsidR="00F67A5B" w:rsidRPr="00C13CCA">
        <w:rPr>
          <w:rFonts w:asciiTheme="minorHAnsi" w:hAnsiTheme="minorHAnsi"/>
        </w:rPr>
        <w:t>in</w:t>
      </w:r>
      <w:r w:rsidR="00D14BE3" w:rsidRPr="00C13CCA">
        <w:rPr>
          <w:rFonts w:asciiTheme="minorHAnsi" w:hAnsiTheme="minorHAnsi"/>
        </w:rPr>
        <w:t xml:space="preserve"> the </w:t>
      </w:r>
      <w:r w:rsidR="00F67A5B" w:rsidRPr="00C13CCA">
        <w:rPr>
          <w:rFonts w:asciiTheme="minorHAnsi" w:hAnsiTheme="minorHAnsi"/>
        </w:rPr>
        <w:t xml:space="preserve">Multifamily Finance Division section of the </w:t>
      </w:r>
      <w:r w:rsidR="00D14BE3" w:rsidRPr="00C13CCA">
        <w:rPr>
          <w:rFonts w:asciiTheme="minorHAnsi" w:hAnsiTheme="minorHAnsi"/>
        </w:rPr>
        <w:t xml:space="preserve">TDHCA </w:t>
      </w:r>
      <w:r w:rsidR="0006462C" w:rsidRPr="00C13CCA">
        <w:rPr>
          <w:rFonts w:asciiTheme="minorHAnsi" w:hAnsiTheme="minorHAnsi"/>
        </w:rPr>
        <w:t>web</w:t>
      </w:r>
      <w:r w:rsidR="00D14BE3" w:rsidRPr="00C13CCA">
        <w:rPr>
          <w:rFonts w:asciiTheme="minorHAnsi" w:hAnsiTheme="minorHAnsi"/>
        </w:rPr>
        <w:t>site</w:t>
      </w:r>
      <w:r w:rsidR="001325E9" w:rsidRPr="00C13CCA">
        <w:rPr>
          <w:rFonts w:asciiTheme="minorHAnsi" w:hAnsiTheme="minorHAnsi"/>
        </w:rPr>
        <w:t xml:space="preserve"> </w:t>
      </w:r>
      <w:r w:rsidR="00F80364" w:rsidRPr="00C13CCA">
        <w:rPr>
          <w:rFonts w:asciiTheme="minorHAnsi" w:hAnsiTheme="minorHAnsi"/>
        </w:rPr>
        <w:t xml:space="preserve">under </w:t>
      </w:r>
      <w:r w:rsidR="00F67A5B" w:rsidRPr="00C13CCA">
        <w:rPr>
          <w:rFonts w:asciiTheme="minorHAnsi" w:hAnsiTheme="minorHAnsi"/>
        </w:rPr>
        <w:t xml:space="preserve">the heading, </w:t>
      </w:r>
      <w:r w:rsidR="00DF4876" w:rsidRPr="00E8769F">
        <w:rPr>
          <w:rFonts w:asciiTheme="minorHAnsi" w:hAnsiTheme="minorHAnsi"/>
        </w:rPr>
        <w:t>202</w:t>
      </w:r>
      <w:r w:rsidR="00DA605D" w:rsidRPr="00E8769F">
        <w:rPr>
          <w:rFonts w:asciiTheme="minorHAnsi" w:hAnsiTheme="minorHAnsi"/>
        </w:rPr>
        <w:t>5</w:t>
      </w:r>
      <w:r w:rsidR="00DF4876" w:rsidRPr="00E8769F">
        <w:rPr>
          <w:rFonts w:asciiTheme="minorHAnsi" w:hAnsiTheme="minorHAnsi"/>
        </w:rPr>
        <w:t xml:space="preserve"> </w:t>
      </w:r>
      <w:r w:rsidR="001325E9" w:rsidRPr="00C13CCA">
        <w:rPr>
          <w:rFonts w:asciiTheme="minorHAnsi" w:hAnsiTheme="minorHAnsi"/>
        </w:rPr>
        <w:t>9% HTC Carryover Allocation Information,</w:t>
      </w:r>
      <w:r w:rsidR="00F67A5B" w:rsidRPr="00C13CCA">
        <w:rPr>
          <w:rFonts w:asciiTheme="minorHAnsi" w:hAnsiTheme="minorHAnsi"/>
        </w:rPr>
        <w:t xml:space="preserve"> </w:t>
      </w:r>
      <w:hyperlink r:id="rId8" w:history="1">
        <w:r w:rsidR="00332D0D" w:rsidRPr="00A63636">
          <w:rPr>
            <w:rStyle w:val="Hyperlink"/>
            <w:rFonts w:asciiTheme="minorHAnsi" w:hAnsiTheme="minorHAnsi"/>
          </w:rPr>
          <w:t>https://www.tdhca.texas.go</w:t>
        </w:r>
        <w:r w:rsidR="00332D0D" w:rsidRPr="00A63636">
          <w:rPr>
            <w:rStyle w:val="Hyperlink"/>
            <w:rFonts w:asciiTheme="minorHAnsi" w:hAnsiTheme="minorHAnsi"/>
          </w:rPr>
          <w:t>v</w:t>
        </w:r>
        <w:r w:rsidR="00332D0D" w:rsidRPr="00A63636">
          <w:rPr>
            <w:rStyle w:val="Hyperlink"/>
            <w:rFonts w:asciiTheme="minorHAnsi" w:hAnsiTheme="minorHAnsi"/>
          </w:rPr>
          <w:t>/competitive-9-housing-tax-credits</w:t>
        </w:r>
      </w:hyperlink>
      <w:r w:rsidR="00332D0D">
        <w:rPr>
          <w:rFonts w:asciiTheme="minorHAnsi" w:hAnsiTheme="minorHAnsi"/>
        </w:rPr>
        <w:t xml:space="preserve">. </w:t>
      </w:r>
      <w:r w:rsidR="00C13CCA">
        <w:rPr>
          <w:rFonts w:asciiTheme="minorHAnsi" w:hAnsiTheme="minorHAnsi"/>
        </w:rPr>
        <w:t>D</w:t>
      </w:r>
      <w:r w:rsidR="00D14BE3" w:rsidRPr="00C13CCA">
        <w:rPr>
          <w:rFonts w:asciiTheme="minorHAnsi" w:hAnsiTheme="minorHAnsi"/>
        </w:rPr>
        <w:t xml:space="preserve">elivery of the </w:t>
      </w:r>
      <w:r w:rsidR="00C06E1D" w:rsidRPr="00C13CCA">
        <w:rPr>
          <w:rFonts w:asciiTheme="minorHAnsi" w:hAnsiTheme="minorHAnsi"/>
        </w:rPr>
        <w:t xml:space="preserve">executed </w:t>
      </w:r>
      <w:r w:rsidR="00D14BE3" w:rsidRPr="00C13CCA">
        <w:rPr>
          <w:rFonts w:asciiTheme="minorHAnsi" w:hAnsiTheme="minorHAnsi"/>
        </w:rPr>
        <w:t>C</w:t>
      </w:r>
      <w:r w:rsidR="005F6E93">
        <w:rPr>
          <w:rFonts w:asciiTheme="minorHAnsi" w:hAnsiTheme="minorHAnsi"/>
        </w:rPr>
        <w:t xml:space="preserve">AA </w:t>
      </w:r>
      <w:r w:rsidR="007503F8" w:rsidRPr="00C13CCA">
        <w:rPr>
          <w:rFonts w:asciiTheme="minorHAnsi" w:hAnsiTheme="minorHAnsi"/>
        </w:rPr>
        <w:t>start</w:t>
      </w:r>
      <w:r w:rsidR="00F011D7" w:rsidRPr="00C13CCA">
        <w:rPr>
          <w:rFonts w:asciiTheme="minorHAnsi" w:hAnsiTheme="minorHAnsi"/>
        </w:rPr>
        <w:t>s</w:t>
      </w:r>
      <w:r w:rsidR="007503F8" w:rsidRPr="00C13CCA">
        <w:rPr>
          <w:rFonts w:asciiTheme="minorHAnsi" w:hAnsiTheme="minorHAnsi"/>
        </w:rPr>
        <w:t xml:space="preserve"> with </w:t>
      </w:r>
      <w:r w:rsidR="002965FD" w:rsidRPr="00C13CCA">
        <w:rPr>
          <w:rFonts w:asciiTheme="minorHAnsi" w:hAnsiTheme="minorHAnsi"/>
        </w:rPr>
        <w:t>Multifamily Finance Division staff fill</w:t>
      </w:r>
      <w:r w:rsidR="007503F8" w:rsidRPr="00C13CCA">
        <w:rPr>
          <w:rFonts w:asciiTheme="minorHAnsi" w:hAnsiTheme="minorHAnsi"/>
        </w:rPr>
        <w:t>ing</w:t>
      </w:r>
      <w:r w:rsidR="00567972" w:rsidRPr="00C13CCA">
        <w:rPr>
          <w:rFonts w:asciiTheme="minorHAnsi" w:hAnsiTheme="minorHAnsi"/>
        </w:rPr>
        <w:t xml:space="preserve"> </w:t>
      </w:r>
      <w:r w:rsidR="002965FD" w:rsidRPr="00C13CCA">
        <w:rPr>
          <w:rFonts w:asciiTheme="minorHAnsi" w:hAnsiTheme="minorHAnsi"/>
        </w:rPr>
        <w:t xml:space="preserve">out the </w:t>
      </w:r>
      <w:r w:rsidR="007503F8" w:rsidRPr="00C13CCA">
        <w:rPr>
          <w:rFonts w:asciiTheme="minorHAnsi" w:hAnsiTheme="minorHAnsi"/>
        </w:rPr>
        <w:t xml:space="preserve">electronic document </w:t>
      </w:r>
      <w:r w:rsidR="00603B05" w:rsidRPr="00C13CCA">
        <w:rPr>
          <w:rFonts w:asciiTheme="minorHAnsi" w:hAnsiTheme="minorHAnsi"/>
        </w:rPr>
        <w:t>with information pr</w:t>
      </w:r>
      <w:r w:rsidR="00D14BE3" w:rsidRPr="00C13CCA">
        <w:rPr>
          <w:rFonts w:asciiTheme="minorHAnsi" w:hAnsiTheme="minorHAnsi"/>
        </w:rPr>
        <w:t>ovided by the D</w:t>
      </w:r>
      <w:r w:rsidR="00603B05" w:rsidRPr="00C13CCA">
        <w:rPr>
          <w:rFonts w:asciiTheme="minorHAnsi" w:hAnsiTheme="minorHAnsi"/>
        </w:rPr>
        <w:t xml:space="preserve">evelopment </w:t>
      </w:r>
      <w:r w:rsidR="00D14BE3" w:rsidRPr="00C13CCA">
        <w:rPr>
          <w:rFonts w:asciiTheme="minorHAnsi" w:hAnsiTheme="minorHAnsi"/>
        </w:rPr>
        <w:t>O</w:t>
      </w:r>
      <w:r w:rsidR="00603B05" w:rsidRPr="00C13CCA">
        <w:rPr>
          <w:rFonts w:asciiTheme="minorHAnsi" w:hAnsiTheme="minorHAnsi"/>
        </w:rPr>
        <w:t>wner in the Application</w:t>
      </w:r>
      <w:r w:rsidR="007F69C3" w:rsidRPr="00C13CCA">
        <w:rPr>
          <w:rFonts w:asciiTheme="minorHAnsi" w:hAnsiTheme="minorHAnsi"/>
        </w:rPr>
        <w:t>,</w:t>
      </w:r>
      <w:r w:rsidR="000975B7" w:rsidRPr="00C13CCA">
        <w:rPr>
          <w:rFonts w:asciiTheme="minorHAnsi" w:hAnsiTheme="minorHAnsi"/>
        </w:rPr>
        <w:t xml:space="preserve"> </w:t>
      </w:r>
      <w:r w:rsidR="00603B05" w:rsidRPr="00C13CCA">
        <w:rPr>
          <w:rFonts w:asciiTheme="minorHAnsi" w:hAnsiTheme="minorHAnsi"/>
        </w:rPr>
        <w:t>Commitment Notice</w:t>
      </w:r>
      <w:r w:rsidR="006B598D" w:rsidRPr="00C13CCA">
        <w:rPr>
          <w:rFonts w:asciiTheme="minorHAnsi" w:hAnsiTheme="minorHAnsi"/>
        </w:rPr>
        <w:t>,</w:t>
      </w:r>
      <w:r w:rsidR="007F69C3" w:rsidRPr="00C13CCA">
        <w:rPr>
          <w:rFonts w:asciiTheme="minorHAnsi" w:hAnsiTheme="minorHAnsi"/>
        </w:rPr>
        <w:t xml:space="preserve"> and </w:t>
      </w:r>
      <w:r w:rsidR="00DF4876" w:rsidRPr="00E8769F">
        <w:rPr>
          <w:rFonts w:asciiTheme="minorHAnsi" w:hAnsiTheme="minorHAnsi"/>
        </w:rPr>
        <w:t>202</w:t>
      </w:r>
      <w:r w:rsidR="00DA605D" w:rsidRPr="00E8769F">
        <w:rPr>
          <w:rFonts w:asciiTheme="minorHAnsi" w:hAnsiTheme="minorHAnsi"/>
        </w:rPr>
        <w:t>5</w:t>
      </w:r>
      <w:r w:rsidR="007E25BF" w:rsidRPr="00E8769F">
        <w:rPr>
          <w:rFonts w:asciiTheme="minorHAnsi" w:hAnsiTheme="minorHAnsi"/>
        </w:rPr>
        <w:t xml:space="preserve"> </w:t>
      </w:r>
      <w:r w:rsidR="007F69C3" w:rsidRPr="00C13CCA">
        <w:rPr>
          <w:rFonts w:asciiTheme="minorHAnsi" w:hAnsiTheme="minorHAnsi"/>
        </w:rPr>
        <w:t>Carryover Allocation Questionnaire</w:t>
      </w:r>
      <w:r w:rsidR="00D14BE3" w:rsidRPr="00C13CCA">
        <w:rPr>
          <w:rFonts w:asciiTheme="minorHAnsi" w:hAnsiTheme="minorHAnsi"/>
        </w:rPr>
        <w:t xml:space="preserve">. Staff will </w:t>
      </w:r>
      <w:r w:rsidR="007503F8" w:rsidRPr="00C13CCA">
        <w:rPr>
          <w:rFonts w:asciiTheme="minorHAnsi" w:hAnsiTheme="minorHAnsi"/>
        </w:rPr>
        <w:t xml:space="preserve">transmit </w:t>
      </w:r>
      <w:r w:rsidR="00D14BE3" w:rsidRPr="00C13CCA">
        <w:rPr>
          <w:rFonts w:asciiTheme="minorHAnsi" w:hAnsiTheme="minorHAnsi"/>
        </w:rPr>
        <w:t xml:space="preserve">the completed </w:t>
      </w:r>
      <w:r w:rsidR="007503F8" w:rsidRPr="00C13CCA">
        <w:rPr>
          <w:rFonts w:asciiTheme="minorHAnsi" w:hAnsiTheme="minorHAnsi"/>
        </w:rPr>
        <w:t xml:space="preserve">electronic </w:t>
      </w:r>
      <w:r w:rsidR="005F6E93">
        <w:rPr>
          <w:rFonts w:asciiTheme="minorHAnsi" w:hAnsiTheme="minorHAnsi"/>
        </w:rPr>
        <w:t>CAA</w:t>
      </w:r>
      <w:r w:rsidR="002965FD" w:rsidRPr="00C13CCA">
        <w:rPr>
          <w:rFonts w:asciiTheme="minorHAnsi" w:hAnsiTheme="minorHAnsi"/>
        </w:rPr>
        <w:t xml:space="preserve"> </w:t>
      </w:r>
      <w:r w:rsidR="00C13CCA">
        <w:rPr>
          <w:rFonts w:asciiTheme="minorHAnsi" w:hAnsiTheme="minorHAnsi"/>
        </w:rPr>
        <w:t>to the Development Owner through Docu</w:t>
      </w:r>
      <w:r w:rsidR="005F6E93">
        <w:rPr>
          <w:rFonts w:asciiTheme="minorHAnsi" w:hAnsiTheme="minorHAnsi"/>
        </w:rPr>
        <w:t>S</w:t>
      </w:r>
      <w:r w:rsidR="00C13CCA">
        <w:rPr>
          <w:rFonts w:asciiTheme="minorHAnsi" w:hAnsiTheme="minorHAnsi"/>
        </w:rPr>
        <w:t xml:space="preserve">ign. </w:t>
      </w:r>
      <w:r w:rsidR="000975B7" w:rsidRPr="00C13CCA">
        <w:rPr>
          <w:rFonts w:asciiTheme="minorHAnsi" w:hAnsiTheme="minorHAnsi"/>
        </w:rPr>
        <w:t xml:space="preserve">Regarding the </w:t>
      </w:r>
      <w:r w:rsidR="00DF4876" w:rsidRPr="00E8769F">
        <w:rPr>
          <w:rFonts w:asciiTheme="minorHAnsi" w:hAnsiTheme="minorHAnsi"/>
        </w:rPr>
        <w:t>202</w:t>
      </w:r>
      <w:r w:rsidR="00DA605D" w:rsidRPr="00E8769F">
        <w:rPr>
          <w:rFonts w:asciiTheme="minorHAnsi" w:hAnsiTheme="minorHAnsi"/>
        </w:rPr>
        <w:t>5</w:t>
      </w:r>
      <w:r w:rsidR="007E25BF" w:rsidRPr="00E8769F">
        <w:rPr>
          <w:rFonts w:asciiTheme="minorHAnsi" w:hAnsiTheme="minorHAnsi"/>
        </w:rPr>
        <w:t xml:space="preserve"> </w:t>
      </w:r>
      <w:r w:rsidR="000975B7" w:rsidRPr="00C13CCA">
        <w:rPr>
          <w:rFonts w:asciiTheme="minorHAnsi" w:hAnsiTheme="minorHAnsi"/>
        </w:rPr>
        <w:t>carryover package:</w:t>
      </w:r>
    </w:p>
    <w:p w14:paraId="70D9C66B" w14:textId="77777777" w:rsidR="006B2EE7" w:rsidRPr="00C13CCA" w:rsidRDefault="006B2EE7" w:rsidP="00FF0C7C">
      <w:pPr>
        <w:ind w:firstLine="720"/>
        <w:jc w:val="both"/>
        <w:rPr>
          <w:rFonts w:asciiTheme="minorHAnsi" w:hAnsiTheme="minorHAnsi"/>
        </w:rPr>
      </w:pPr>
    </w:p>
    <w:p w14:paraId="6D9DE04B" w14:textId="68B5446E" w:rsidR="001356E5" w:rsidRPr="00C13CCA" w:rsidRDefault="006D4EBD" w:rsidP="00961659">
      <w:pPr>
        <w:numPr>
          <w:ilvl w:val="0"/>
          <w:numId w:val="18"/>
        </w:numPr>
        <w:jc w:val="both"/>
        <w:rPr>
          <w:rFonts w:asciiTheme="minorHAnsi" w:hAnsiTheme="minorHAnsi"/>
        </w:rPr>
      </w:pPr>
      <w:r w:rsidRPr="00C13CCA">
        <w:rPr>
          <w:rFonts w:asciiTheme="minorHAnsi" w:hAnsiTheme="minorHAnsi"/>
        </w:rPr>
        <w:t>After downloading the electronic Excel template, f</w:t>
      </w:r>
      <w:r w:rsidR="001356E5" w:rsidRPr="00C13CCA">
        <w:rPr>
          <w:rFonts w:asciiTheme="minorHAnsi" w:hAnsiTheme="minorHAnsi"/>
        </w:rPr>
        <w:t>ill</w:t>
      </w:r>
      <w:r w:rsidR="00567972" w:rsidRPr="00C13CCA">
        <w:rPr>
          <w:rFonts w:asciiTheme="minorHAnsi" w:hAnsiTheme="minorHAnsi"/>
        </w:rPr>
        <w:t xml:space="preserve"> </w:t>
      </w:r>
      <w:r w:rsidR="001356E5" w:rsidRPr="00C13CCA">
        <w:rPr>
          <w:rFonts w:asciiTheme="minorHAnsi" w:hAnsiTheme="minorHAnsi"/>
        </w:rPr>
        <w:t xml:space="preserve">in the </w:t>
      </w:r>
      <w:r w:rsidR="008A69AE" w:rsidRPr="00C13CCA">
        <w:rPr>
          <w:rFonts w:asciiTheme="minorHAnsi" w:hAnsiTheme="minorHAnsi"/>
        </w:rPr>
        <w:t xml:space="preserve">applicable </w:t>
      </w:r>
      <w:r w:rsidR="001356E5" w:rsidRPr="00C13CCA">
        <w:rPr>
          <w:rFonts w:asciiTheme="minorHAnsi" w:hAnsiTheme="minorHAnsi"/>
        </w:rPr>
        <w:t xml:space="preserve">areas. </w:t>
      </w:r>
      <w:r w:rsidR="000417A2">
        <w:rPr>
          <w:rFonts w:asciiTheme="minorHAnsi" w:hAnsiTheme="minorHAnsi"/>
        </w:rPr>
        <w:t>Some areas of the f</w:t>
      </w:r>
      <w:r w:rsidR="001356E5" w:rsidRPr="00C13CCA">
        <w:rPr>
          <w:rFonts w:asciiTheme="minorHAnsi" w:hAnsiTheme="minorHAnsi"/>
        </w:rPr>
        <w:t xml:space="preserve">orms </w:t>
      </w:r>
      <w:r w:rsidR="003C2A70" w:rsidRPr="00C13CCA">
        <w:rPr>
          <w:rFonts w:asciiTheme="minorHAnsi" w:hAnsiTheme="minorHAnsi"/>
        </w:rPr>
        <w:t xml:space="preserve">are </w:t>
      </w:r>
      <w:r w:rsidR="001356E5" w:rsidRPr="00C13CCA">
        <w:rPr>
          <w:rFonts w:asciiTheme="minorHAnsi" w:hAnsiTheme="minorHAnsi"/>
        </w:rPr>
        <w:t>unlocked to allow awardees to add additional columns or rows</w:t>
      </w:r>
      <w:r w:rsidR="00311213" w:rsidRPr="00C13CCA">
        <w:rPr>
          <w:rFonts w:asciiTheme="minorHAnsi" w:hAnsiTheme="minorHAnsi"/>
        </w:rPr>
        <w:t>,</w:t>
      </w:r>
      <w:r w:rsidR="00567972" w:rsidRPr="00C13CCA">
        <w:rPr>
          <w:rFonts w:asciiTheme="minorHAnsi" w:hAnsiTheme="minorHAnsi"/>
        </w:rPr>
        <w:t xml:space="preserve"> or</w:t>
      </w:r>
      <w:r w:rsidR="001356E5" w:rsidRPr="00C13CCA">
        <w:rPr>
          <w:rFonts w:asciiTheme="minorHAnsi" w:hAnsiTheme="minorHAnsi"/>
        </w:rPr>
        <w:t xml:space="preserve"> format text as necessary. </w:t>
      </w:r>
      <w:r w:rsidR="003D5EE4" w:rsidRPr="00C13CCA">
        <w:rPr>
          <w:rFonts w:asciiTheme="minorHAnsi" w:hAnsiTheme="minorHAnsi"/>
        </w:rPr>
        <w:t xml:space="preserve">If the space provided is insufficient for the number of characters that must be entered, decrease the font </w:t>
      </w:r>
      <w:proofErr w:type="gramStart"/>
      <w:r w:rsidR="003D5EE4" w:rsidRPr="00C13CCA">
        <w:rPr>
          <w:rFonts w:asciiTheme="minorHAnsi" w:hAnsiTheme="minorHAnsi"/>
        </w:rPr>
        <w:t>size</w:t>
      </w:r>
      <w:proofErr w:type="gramEnd"/>
      <w:r w:rsidR="008A69AE" w:rsidRPr="00C13CCA">
        <w:rPr>
          <w:rFonts w:asciiTheme="minorHAnsi" w:hAnsiTheme="minorHAnsi"/>
        </w:rPr>
        <w:t xml:space="preserve"> or append an additional page</w:t>
      </w:r>
      <w:r w:rsidR="003D5EE4" w:rsidRPr="00C13CCA">
        <w:rPr>
          <w:rFonts w:asciiTheme="minorHAnsi" w:hAnsiTheme="minorHAnsi"/>
        </w:rPr>
        <w:t>.</w:t>
      </w:r>
    </w:p>
    <w:p w14:paraId="5CB28CF6" w14:textId="77777777" w:rsidR="001356E5" w:rsidRPr="00C13CCA" w:rsidRDefault="001356E5" w:rsidP="001356E5">
      <w:pPr>
        <w:ind w:left="1080"/>
        <w:jc w:val="both"/>
        <w:rPr>
          <w:rFonts w:asciiTheme="minorHAnsi" w:hAnsiTheme="minorHAnsi"/>
        </w:rPr>
      </w:pPr>
    </w:p>
    <w:p w14:paraId="48D6B2FA" w14:textId="6A87F247" w:rsidR="001356E5" w:rsidRDefault="001356E5" w:rsidP="00961659">
      <w:pPr>
        <w:numPr>
          <w:ilvl w:val="0"/>
          <w:numId w:val="18"/>
        </w:numPr>
        <w:jc w:val="both"/>
        <w:rPr>
          <w:rFonts w:asciiTheme="minorHAnsi" w:hAnsiTheme="minorHAnsi"/>
        </w:rPr>
      </w:pPr>
      <w:r w:rsidRPr="00C13CCA">
        <w:rPr>
          <w:rFonts w:asciiTheme="minorHAnsi" w:hAnsiTheme="minorHAnsi"/>
        </w:rPr>
        <w:t>All questions are intended to elicit a response</w:t>
      </w:r>
      <w:r w:rsidR="00C06E1D" w:rsidRPr="00C13CCA">
        <w:rPr>
          <w:rFonts w:asciiTheme="minorHAnsi" w:hAnsiTheme="minorHAnsi"/>
        </w:rPr>
        <w:t>. Therefore</w:t>
      </w:r>
      <w:r w:rsidRPr="00C13CCA">
        <w:rPr>
          <w:rFonts w:asciiTheme="minorHAnsi" w:hAnsiTheme="minorHAnsi"/>
        </w:rPr>
        <w:t>,</w:t>
      </w:r>
      <w:r w:rsidR="00C06E1D" w:rsidRPr="00C13CCA">
        <w:rPr>
          <w:rFonts w:asciiTheme="minorHAnsi" w:hAnsiTheme="minorHAnsi"/>
        </w:rPr>
        <w:t xml:space="preserve"> </w:t>
      </w:r>
      <w:r w:rsidRPr="00C13CCA">
        <w:rPr>
          <w:rFonts w:asciiTheme="minorHAnsi" w:hAnsiTheme="minorHAnsi"/>
        </w:rPr>
        <w:t xml:space="preserve">please do not </w:t>
      </w:r>
      <w:r w:rsidR="003D5EE4" w:rsidRPr="00C13CCA">
        <w:rPr>
          <w:rFonts w:asciiTheme="minorHAnsi" w:hAnsiTheme="minorHAnsi"/>
        </w:rPr>
        <w:t>omit</w:t>
      </w:r>
      <w:r w:rsidRPr="00C13CCA">
        <w:rPr>
          <w:rFonts w:asciiTheme="minorHAnsi" w:hAnsiTheme="minorHAnsi"/>
        </w:rPr>
        <w:t xml:space="preserve"> any requested information. </w:t>
      </w:r>
      <w:r w:rsidR="00A96513" w:rsidRPr="00C13CCA">
        <w:rPr>
          <w:rFonts w:asciiTheme="minorHAnsi" w:hAnsiTheme="minorHAnsi"/>
        </w:rPr>
        <w:t>D</w:t>
      </w:r>
      <w:r w:rsidR="00723672">
        <w:rPr>
          <w:rFonts w:asciiTheme="minorHAnsi" w:hAnsiTheme="minorHAnsi"/>
        </w:rPr>
        <w:t>O</w:t>
      </w:r>
      <w:r w:rsidR="00A96513" w:rsidRPr="00C13CCA">
        <w:rPr>
          <w:rFonts w:asciiTheme="minorHAnsi" w:hAnsiTheme="minorHAnsi"/>
        </w:rPr>
        <w:t xml:space="preserve"> NOT include</w:t>
      </w:r>
      <w:r w:rsidRPr="00C13CCA">
        <w:rPr>
          <w:rFonts w:asciiTheme="minorHAnsi" w:hAnsiTheme="minorHAnsi"/>
        </w:rPr>
        <w:t xml:space="preserve"> </w:t>
      </w:r>
      <w:r w:rsidR="00A96513" w:rsidRPr="00C13CCA">
        <w:rPr>
          <w:rFonts w:asciiTheme="minorHAnsi" w:hAnsiTheme="minorHAnsi"/>
        </w:rPr>
        <w:t xml:space="preserve">cell </w:t>
      </w:r>
      <w:r w:rsidRPr="00C13CCA">
        <w:rPr>
          <w:rFonts w:asciiTheme="minorHAnsi" w:hAnsiTheme="minorHAnsi"/>
        </w:rPr>
        <w:t>references to external spreadsheets</w:t>
      </w:r>
      <w:r w:rsidR="00A96513" w:rsidRPr="00C13CCA">
        <w:rPr>
          <w:rFonts w:asciiTheme="minorHAnsi" w:hAnsiTheme="minorHAnsi"/>
        </w:rPr>
        <w:t>.</w:t>
      </w:r>
      <w:r w:rsidR="008A22F1" w:rsidRPr="00C13CCA">
        <w:rPr>
          <w:rFonts w:asciiTheme="minorHAnsi" w:hAnsiTheme="minorHAnsi"/>
        </w:rPr>
        <w:t xml:space="preserve"> The </w:t>
      </w:r>
      <w:r w:rsidR="00F91674" w:rsidRPr="00C13CCA">
        <w:rPr>
          <w:rFonts w:asciiTheme="minorHAnsi" w:hAnsiTheme="minorHAnsi"/>
        </w:rPr>
        <w:t xml:space="preserve">submission </w:t>
      </w:r>
      <w:r w:rsidR="008A22F1" w:rsidRPr="00C13CCA">
        <w:rPr>
          <w:rFonts w:asciiTheme="minorHAnsi" w:hAnsiTheme="minorHAnsi"/>
        </w:rPr>
        <w:t>must be entirely self-contained</w:t>
      </w:r>
      <w:r w:rsidRPr="00C13CCA">
        <w:rPr>
          <w:rFonts w:asciiTheme="minorHAnsi" w:hAnsiTheme="minorHAnsi"/>
        </w:rPr>
        <w:t>.</w:t>
      </w:r>
    </w:p>
    <w:p w14:paraId="4469790C" w14:textId="77777777" w:rsidR="007C7A48" w:rsidRDefault="007C7A48" w:rsidP="006B7A52">
      <w:pPr>
        <w:pStyle w:val="ListParagraph"/>
        <w:rPr>
          <w:rFonts w:asciiTheme="minorHAnsi" w:hAnsiTheme="minorHAnsi"/>
        </w:rPr>
      </w:pPr>
    </w:p>
    <w:p w14:paraId="3D96CF84" w14:textId="37C213E2" w:rsidR="007C7A48" w:rsidRPr="00C13CCA" w:rsidRDefault="007C7A48" w:rsidP="00961659">
      <w:pPr>
        <w:numPr>
          <w:ilvl w:val="0"/>
          <w:numId w:val="18"/>
        </w:numPr>
        <w:jc w:val="both"/>
        <w:rPr>
          <w:rFonts w:asciiTheme="minorHAnsi" w:hAnsiTheme="minorHAnsi"/>
        </w:rPr>
      </w:pPr>
      <w:r>
        <w:rPr>
          <w:rFonts w:asciiTheme="minorHAnsi" w:hAnsiTheme="minorHAnsi"/>
        </w:rPr>
        <w:t xml:space="preserve">Instructions for converting the completed Excel file to pdf may be found in the </w:t>
      </w:r>
      <w:r w:rsidR="00DF4876" w:rsidRPr="00E8769F">
        <w:rPr>
          <w:rFonts w:asciiTheme="minorHAnsi" w:hAnsiTheme="minorHAnsi"/>
        </w:rPr>
        <w:t>202</w:t>
      </w:r>
      <w:r w:rsidR="00DA605D" w:rsidRPr="00E8769F">
        <w:rPr>
          <w:rFonts w:asciiTheme="minorHAnsi" w:hAnsiTheme="minorHAnsi"/>
        </w:rPr>
        <w:t>5</w:t>
      </w:r>
      <w:r w:rsidRPr="00E8769F">
        <w:rPr>
          <w:rFonts w:asciiTheme="minorHAnsi" w:hAnsiTheme="minorHAnsi"/>
        </w:rPr>
        <w:t xml:space="preserve"> </w:t>
      </w:r>
      <w:r>
        <w:rPr>
          <w:rFonts w:asciiTheme="minorHAnsi" w:hAnsiTheme="minorHAnsi"/>
        </w:rPr>
        <w:t>Multifamily Programs Application Procedures</w:t>
      </w:r>
      <w:r w:rsidR="00BC55F6">
        <w:rPr>
          <w:rFonts w:asciiTheme="minorHAnsi" w:hAnsiTheme="minorHAnsi"/>
        </w:rPr>
        <w:t xml:space="preserve"> Manual that is posted </w:t>
      </w:r>
      <w:r w:rsidR="0006561A">
        <w:rPr>
          <w:rFonts w:asciiTheme="minorHAnsi" w:hAnsiTheme="minorHAnsi"/>
        </w:rPr>
        <w:t xml:space="preserve">at </w:t>
      </w:r>
      <w:r w:rsidR="00ED31FA">
        <w:rPr>
          <w:rFonts w:asciiTheme="minorHAnsi" w:hAnsiTheme="minorHAnsi"/>
        </w:rPr>
        <w:t>this</w:t>
      </w:r>
      <w:r w:rsidR="0006561A">
        <w:rPr>
          <w:rFonts w:asciiTheme="minorHAnsi" w:hAnsiTheme="minorHAnsi"/>
        </w:rPr>
        <w:t xml:space="preserve"> link</w:t>
      </w:r>
      <w:r w:rsidR="00ED31FA">
        <w:rPr>
          <w:rFonts w:asciiTheme="minorHAnsi" w:hAnsiTheme="minorHAnsi"/>
        </w:rPr>
        <w:t>,</w:t>
      </w:r>
      <w:r w:rsidR="0006561A">
        <w:rPr>
          <w:rFonts w:asciiTheme="minorHAnsi" w:hAnsiTheme="minorHAnsi"/>
        </w:rPr>
        <w:t xml:space="preserve"> </w:t>
      </w:r>
      <w:hyperlink r:id="rId9" w:history="1">
        <w:r w:rsidR="00DA605D" w:rsidRPr="008A2514">
          <w:rPr>
            <w:rStyle w:val="Hyperlink"/>
            <w:rFonts w:asciiTheme="minorHAnsi" w:hAnsiTheme="minorHAnsi"/>
          </w:rPr>
          <w:t>https://www.tdhca.texas.gov/sites/</w:t>
        </w:r>
        <w:r w:rsidR="00DA605D" w:rsidRPr="008A2514">
          <w:rPr>
            <w:rStyle w:val="Hyperlink"/>
            <w:rFonts w:asciiTheme="minorHAnsi" w:hAnsiTheme="minorHAnsi"/>
          </w:rPr>
          <w:t>d</w:t>
        </w:r>
        <w:r w:rsidR="00DA605D" w:rsidRPr="008A2514">
          <w:rPr>
            <w:rStyle w:val="Hyperlink"/>
            <w:rFonts w:asciiTheme="minorHAnsi" w:hAnsiTheme="minorHAnsi"/>
          </w:rPr>
          <w:t>efault/files/multifamily/docs/25-MFProceduresManual_0.pdf</w:t>
        </w:r>
      </w:hyperlink>
      <w:r w:rsidR="00ED31FA">
        <w:t xml:space="preserve">, </w:t>
      </w:r>
      <w:r w:rsidR="00BC55F6">
        <w:rPr>
          <w:rFonts w:asciiTheme="minorHAnsi" w:hAnsiTheme="minorHAnsi"/>
        </w:rPr>
        <w:t>under the heading</w:t>
      </w:r>
      <w:r w:rsidR="00E42997">
        <w:rPr>
          <w:rFonts w:asciiTheme="minorHAnsi" w:hAnsiTheme="minorHAnsi"/>
        </w:rPr>
        <w:t xml:space="preserve"> </w:t>
      </w:r>
      <w:r w:rsidR="00BC55F6">
        <w:rPr>
          <w:rFonts w:asciiTheme="minorHAnsi" w:hAnsiTheme="minorHAnsi"/>
        </w:rPr>
        <w:t xml:space="preserve">on the </w:t>
      </w:r>
      <w:r w:rsidR="00E42997">
        <w:rPr>
          <w:rFonts w:asciiTheme="minorHAnsi" w:hAnsiTheme="minorHAnsi"/>
        </w:rPr>
        <w:t>TDHCA website at Multifamily Programs\Apply for Funds.</w:t>
      </w:r>
      <w:r w:rsidR="00ED31FA">
        <w:rPr>
          <w:rFonts w:asciiTheme="minorHAnsi" w:hAnsiTheme="minorHAnsi"/>
        </w:rPr>
        <w:t xml:space="preserve"> </w:t>
      </w:r>
      <w:r w:rsidR="00E42997">
        <w:rPr>
          <w:rFonts w:asciiTheme="minorHAnsi" w:hAnsiTheme="minorHAnsi"/>
        </w:rPr>
        <w:t xml:space="preserve">Bookmarks are not required in the Carryover Package, but instructions for their creation may be found in the </w:t>
      </w:r>
      <w:r w:rsidR="00DF4876" w:rsidRPr="002070D7">
        <w:rPr>
          <w:rFonts w:asciiTheme="minorHAnsi" w:hAnsiTheme="minorHAnsi"/>
        </w:rPr>
        <w:t>202</w:t>
      </w:r>
      <w:r w:rsidR="00DA605D" w:rsidRPr="002070D7">
        <w:rPr>
          <w:rFonts w:asciiTheme="minorHAnsi" w:hAnsiTheme="minorHAnsi"/>
        </w:rPr>
        <w:t>5</w:t>
      </w:r>
      <w:r w:rsidR="00E42997" w:rsidRPr="002070D7">
        <w:rPr>
          <w:rFonts w:asciiTheme="minorHAnsi" w:hAnsiTheme="minorHAnsi"/>
        </w:rPr>
        <w:t xml:space="preserve"> </w:t>
      </w:r>
      <w:r w:rsidR="00E42997">
        <w:rPr>
          <w:rFonts w:asciiTheme="minorHAnsi" w:hAnsiTheme="minorHAnsi"/>
        </w:rPr>
        <w:t>Multifamily Programs Application Procedures Manual if they are desired.</w:t>
      </w:r>
    </w:p>
    <w:p w14:paraId="6F9CF317" w14:textId="77777777" w:rsidR="001356E5" w:rsidRPr="00C13CCA" w:rsidRDefault="001356E5" w:rsidP="001356E5">
      <w:pPr>
        <w:pStyle w:val="ListParagraph"/>
        <w:ind w:left="1080"/>
        <w:rPr>
          <w:rFonts w:asciiTheme="minorHAnsi" w:hAnsiTheme="minorHAnsi"/>
        </w:rPr>
      </w:pPr>
    </w:p>
    <w:p w14:paraId="7326A420" w14:textId="6FE3F5B7" w:rsidR="001356E5" w:rsidRPr="00C13CCA" w:rsidRDefault="00BE304C" w:rsidP="00767FD8">
      <w:pPr>
        <w:pStyle w:val="ListParagraph"/>
        <w:ind w:left="0" w:firstLine="720"/>
        <w:rPr>
          <w:rFonts w:asciiTheme="minorHAnsi" w:hAnsiTheme="minorHAnsi"/>
        </w:rPr>
      </w:pPr>
      <w:r w:rsidRPr="00C13CCA">
        <w:rPr>
          <w:rFonts w:asciiTheme="minorHAnsi" w:hAnsiTheme="minorHAnsi"/>
        </w:rPr>
        <w:t xml:space="preserve">For questions, </w:t>
      </w:r>
      <w:r w:rsidR="001356E5" w:rsidRPr="00C13CCA">
        <w:rPr>
          <w:rFonts w:asciiTheme="minorHAnsi" w:hAnsiTheme="minorHAnsi"/>
        </w:rPr>
        <w:t xml:space="preserve">contact </w:t>
      </w:r>
      <w:r w:rsidR="00311213" w:rsidRPr="00C13CCA">
        <w:rPr>
          <w:rFonts w:asciiTheme="minorHAnsi" w:hAnsiTheme="minorHAnsi"/>
        </w:rPr>
        <w:t xml:space="preserve">Ben Sheppard at </w:t>
      </w:r>
      <w:r w:rsidR="00961659" w:rsidRPr="00C13CCA">
        <w:rPr>
          <w:rFonts w:asciiTheme="minorHAnsi" w:hAnsiTheme="minorHAnsi"/>
        </w:rPr>
        <w:t>(512) 475-2122</w:t>
      </w:r>
      <w:r w:rsidR="00961659">
        <w:rPr>
          <w:rFonts w:asciiTheme="minorHAnsi" w:hAnsiTheme="minorHAnsi"/>
        </w:rPr>
        <w:t xml:space="preserve"> or </w:t>
      </w:r>
      <w:hyperlink r:id="rId10" w:history="1">
        <w:r w:rsidR="00961659" w:rsidRPr="00AC2F21">
          <w:rPr>
            <w:rStyle w:val="Hyperlink"/>
            <w:rFonts w:asciiTheme="minorHAnsi" w:hAnsiTheme="minorHAnsi"/>
          </w:rPr>
          <w:t>bsheppar@tdhca.texas.gov</w:t>
        </w:r>
      </w:hyperlink>
      <w:r w:rsidR="00961659">
        <w:rPr>
          <w:rFonts w:asciiTheme="minorHAnsi" w:hAnsiTheme="minorHAnsi"/>
        </w:rPr>
        <w:t>.</w:t>
      </w:r>
    </w:p>
    <w:bookmarkEnd w:id="0"/>
    <w:p w14:paraId="779DF3C3" w14:textId="0C29C442" w:rsidR="00374D79" w:rsidRDefault="00374D79">
      <w:pPr>
        <w:rPr>
          <w:rFonts w:asciiTheme="minorHAnsi" w:hAnsiTheme="minorHAnsi"/>
          <w:b/>
          <w:bCs/>
          <w:color w:val="FFFFFF"/>
          <w:highlight w:val="black"/>
        </w:rPr>
      </w:pPr>
    </w:p>
    <w:p w14:paraId="6A6A1C40" w14:textId="77777777" w:rsidR="00E70E19" w:rsidRDefault="00E70E19">
      <w:pPr>
        <w:rPr>
          <w:rFonts w:asciiTheme="minorHAnsi" w:hAnsiTheme="minorHAnsi"/>
          <w:b/>
          <w:bCs/>
          <w:color w:val="FFFFFF"/>
          <w:highlight w:val="black"/>
        </w:rPr>
      </w:pPr>
      <w:r>
        <w:rPr>
          <w:rFonts w:asciiTheme="minorHAnsi" w:hAnsiTheme="minorHAnsi"/>
          <w:b/>
          <w:bCs/>
          <w:color w:val="FFFFFF"/>
          <w:highlight w:val="black"/>
        </w:rPr>
        <w:br w:type="page"/>
      </w:r>
    </w:p>
    <w:p w14:paraId="474E1E74" w14:textId="395AC5FC" w:rsidR="0094685A" w:rsidRPr="0094685A" w:rsidRDefault="0094685A" w:rsidP="0094685A">
      <w:pPr>
        <w:jc w:val="both"/>
        <w:rPr>
          <w:rFonts w:asciiTheme="minorHAnsi" w:hAnsiTheme="minorHAnsi"/>
          <w:b/>
          <w:bCs/>
          <w:color w:val="FFFFFF"/>
          <w:highlight w:val="black"/>
        </w:rPr>
      </w:pPr>
      <w:r w:rsidRPr="0094685A">
        <w:rPr>
          <w:rFonts w:asciiTheme="minorHAnsi" w:hAnsiTheme="minorHAnsi"/>
          <w:b/>
          <w:bCs/>
          <w:color w:val="FFFFFF"/>
          <w:highlight w:val="black"/>
        </w:rPr>
        <w:lastRenderedPageBreak/>
        <w:t>Required Forms and Exhibits for the Carryover</w:t>
      </w:r>
    </w:p>
    <w:p w14:paraId="38D4249F" w14:textId="77777777" w:rsidR="00257EEE" w:rsidRDefault="00257EEE" w:rsidP="0094685A">
      <w:pPr>
        <w:jc w:val="both"/>
        <w:rPr>
          <w:rFonts w:asciiTheme="minorHAnsi" w:hAnsiTheme="minorHAnsi"/>
        </w:rPr>
      </w:pPr>
    </w:p>
    <w:p w14:paraId="6E1DD199" w14:textId="11F32B63" w:rsidR="001356E5" w:rsidRPr="00C13CCA" w:rsidRDefault="001356E5" w:rsidP="0094685A">
      <w:pPr>
        <w:jc w:val="both"/>
        <w:rPr>
          <w:rFonts w:asciiTheme="minorHAnsi" w:hAnsiTheme="minorHAnsi"/>
        </w:rPr>
      </w:pPr>
      <w:r w:rsidRPr="00C13CCA">
        <w:rPr>
          <w:rFonts w:asciiTheme="minorHAnsi" w:hAnsiTheme="minorHAnsi"/>
        </w:rPr>
        <w:t>If deficiencies are found</w:t>
      </w:r>
      <w:r w:rsidR="008C4BCF" w:rsidRPr="00C13CCA">
        <w:rPr>
          <w:rFonts w:asciiTheme="minorHAnsi" w:hAnsiTheme="minorHAnsi"/>
        </w:rPr>
        <w:t xml:space="preserve"> in a </w:t>
      </w:r>
      <w:r w:rsidR="006561FD" w:rsidRPr="00C13CCA">
        <w:rPr>
          <w:rFonts w:asciiTheme="minorHAnsi" w:hAnsiTheme="minorHAnsi"/>
        </w:rPr>
        <w:t>c</w:t>
      </w:r>
      <w:r w:rsidR="008C4BCF" w:rsidRPr="00C13CCA">
        <w:rPr>
          <w:rFonts w:asciiTheme="minorHAnsi" w:hAnsiTheme="minorHAnsi"/>
        </w:rPr>
        <w:t>arryover submission</w:t>
      </w:r>
      <w:r w:rsidRPr="00C13CCA">
        <w:rPr>
          <w:rFonts w:asciiTheme="minorHAnsi" w:hAnsiTheme="minorHAnsi"/>
        </w:rPr>
        <w:t xml:space="preserve">, Department </w:t>
      </w:r>
      <w:r w:rsidR="0006561A">
        <w:rPr>
          <w:rFonts w:asciiTheme="minorHAnsi" w:hAnsiTheme="minorHAnsi"/>
        </w:rPr>
        <w:t xml:space="preserve">staff </w:t>
      </w:r>
      <w:r w:rsidRPr="00C13CCA">
        <w:rPr>
          <w:rFonts w:asciiTheme="minorHAnsi" w:hAnsiTheme="minorHAnsi"/>
        </w:rPr>
        <w:t>will notify the Development Owner</w:t>
      </w:r>
      <w:r w:rsidR="005272F8" w:rsidRPr="00C13CCA">
        <w:rPr>
          <w:rFonts w:asciiTheme="minorHAnsi" w:hAnsiTheme="minorHAnsi"/>
        </w:rPr>
        <w:t>,</w:t>
      </w:r>
      <w:r w:rsidR="00EE4ED6" w:rsidRPr="00C13CCA">
        <w:rPr>
          <w:rFonts w:asciiTheme="minorHAnsi" w:hAnsiTheme="minorHAnsi"/>
        </w:rPr>
        <w:t xml:space="preserve"> </w:t>
      </w:r>
      <w:r w:rsidR="00793934" w:rsidRPr="00C13CCA">
        <w:rPr>
          <w:rFonts w:asciiTheme="minorHAnsi" w:hAnsiTheme="minorHAnsi"/>
        </w:rPr>
        <w:t>who</w:t>
      </w:r>
      <w:r w:rsidRPr="00C13CCA">
        <w:rPr>
          <w:rFonts w:asciiTheme="minorHAnsi" w:hAnsiTheme="minorHAnsi"/>
        </w:rPr>
        <w:t xml:space="preserve"> will be given </w:t>
      </w:r>
      <w:r w:rsidR="00F36DE6" w:rsidRPr="00C13CCA">
        <w:rPr>
          <w:rFonts w:asciiTheme="minorHAnsi" w:hAnsiTheme="minorHAnsi"/>
        </w:rPr>
        <w:t xml:space="preserve">three </w:t>
      </w:r>
      <w:r w:rsidR="007247DA" w:rsidRPr="00C13CCA">
        <w:rPr>
          <w:rFonts w:asciiTheme="minorHAnsi" w:hAnsiTheme="minorHAnsi"/>
        </w:rPr>
        <w:t xml:space="preserve">business days </w:t>
      </w:r>
      <w:r w:rsidRPr="00C13CCA">
        <w:rPr>
          <w:rFonts w:asciiTheme="minorHAnsi" w:hAnsiTheme="minorHAnsi"/>
        </w:rPr>
        <w:t>to correct the deficiencies</w:t>
      </w:r>
      <w:r w:rsidR="000B3077" w:rsidRPr="00C13CCA">
        <w:rPr>
          <w:rFonts w:asciiTheme="minorHAnsi" w:hAnsiTheme="minorHAnsi"/>
        </w:rPr>
        <w:t>, unless a shorter period is necessary to meet the execution deadline</w:t>
      </w:r>
      <w:r w:rsidRPr="00C13CCA">
        <w:rPr>
          <w:rFonts w:asciiTheme="minorHAnsi" w:hAnsiTheme="minorHAnsi"/>
        </w:rPr>
        <w:t xml:space="preserve">. </w:t>
      </w:r>
      <w:r w:rsidR="008C4BCF" w:rsidRPr="00C13CCA">
        <w:rPr>
          <w:rFonts w:asciiTheme="minorHAnsi" w:hAnsiTheme="minorHAnsi"/>
        </w:rPr>
        <w:t>T</w:t>
      </w:r>
      <w:r w:rsidRPr="00C13CCA">
        <w:rPr>
          <w:rFonts w:asciiTheme="minorHAnsi" w:hAnsiTheme="minorHAnsi"/>
        </w:rPr>
        <w:t xml:space="preserve">imely response to </w:t>
      </w:r>
      <w:r w:rsidR="009969F2" w:rsidRPr="00C13CCA">
        <w:rPr>
          <w:rFonts w:asciiTheme="minorHAnsi" w:hAnsiTheme="minorHAnsi"/>
        </w:rPr>
        <w:t xml:space="preserve">a </w:t>
      </w:r>
      <w:r w:rsidR="00EE4ED6" w:rsidRPr="00C13CCA">
        <w:rPr>
          <w:rFonts w:asciiTheme="minorHAnsi" w:hAnsiTheme="minorHAnsi"/>
        </w:rPr>
        <w:t>deficienc</w:t>
      </w:r>
      <w:r w:rsidR="00793934" w:rsidRPr="00C13CCA">
        <w:rPr>
          <w:rFonts w:asciiTheme="minorHAnsi" w:hAnsiTheme="minorHAnsi"/>
        </w:rPr>
        <w:t>y noti</w:t>
      </w:r>
      <w:r w:rsidR="009969F2" w:rsidRPr="00C13CCA">
        <w:rPr>
          <w:rFonts w:asciiTheme="minorHAnsi" w:hAnsiTheme="minorHAnsi"/>
        </w:rPr>
        <w:t>ce</w:t>
      </w:r>
      <w:r w:rsidR="00EE4ED6" w:rsidRPr="00C13CCA">
        <w:rPr>
          <w:rFonts w:asciiTheme="minorHAnsi" w:hAnsiTheme="minorHAnsi"/>
        </w:rPr>
        <w:t xml:space="preserve"> </w:t>
      </w:r>
      <w:r w:rsidR="009969F2" w:rsidRPr="00C13CCA">
        <w:rPr>
          <w:rFonts w:asciiTheme="minorHAnsi" w:hAnsiTheme="minorHAnsi"/>
        </w:rPr>
        <w:t>is</w:t>
      </w:r>
      <w:r w:rsidR="008C4BCF" w:rsidRPr="00C13CCA">
        <w:rPr>
          <w:rFonts w:asciiTheme="minorHAnsi" w:hAnsiTheme="minorHAnsi"/>
        </w:rPr>
        <w:t xml:space="preserve"> critical </w:t>
      </w:r>
      <w:r w:rsidR="009969F2" w:rsidRPr="00C13CCA">
        <w:rPr>
          <w:rFonts w:asciiTheme="minorHAnsi" w:hAnsiTheme="minorHAnsi"/>
        </w:rPr>
        <w:t>so that</w:t>
      </w:r>
      <w:r w:rsidRPr="00C13CCA">
        <w:rPr>
          <w:rFonts w:asciiTheme="minorHAnsi" w:hAnsiTheme="minorHAnsi"/>
        </w:rPr>
        <w:t xml:space="preserve"> the </w:t>
      </w:r>
      <w:r w:rsidR="006561FD" w:rsidRPr="00C13CCA">
        <w:rPr>
          <w:rFonts w:asciiTheme="minorHAnsi" w:hAnsiTheme="minorHAnsi"/>
        </w:rPr>
        <w:t>c</w:t>
      </w:r>
      <w:r w:rsidRPr="00C13CCA">
        <w:rPr>
          <w:rFonts w:asciiTheme="minorHAnsi" w:hAnsiTheme="minorHAnsi"/>
        </w:rPr>
        <w:t>arryover documentation</w:t>
      </w:r>
      <w:r w:rsidR="009969F2" w:rsidRPr="00C13CCA">
        <w:rPr>
          <w:rFonts w:asciiTheme="minorHAnsi" w:hAnsiTheme="minorHAnsi"/>
        </w:rPr>
        <w:t xml:space="preserve"> can be processed</w:t>
      </w:r>
      <w:r w:rsidRPr="00C13CCA">
        <w:rPr>
          <w:rFonts w:asciiTheme="minorHAnsi" w:hAnsiTheme="minorHAnsi"/>
        </w:rPr>
        <w:t xml:space="preserve"> and </w:t>
      </w:r>
      <w:r w:rsidR="009969F2" w:rsidRPr="00C13CCA">
        <w:rPr>
          <w:rFonts w:asciiTheme="minorHAnsi" w:hAnsiTheme="minorHAnsi"/>
        </w:rPr>
        <w:t xml:space="preserve">the </w:t>
      </w:r>
      <w:r w:rsidRPr="00C13CCA">
        <w:rPr>
          <w:rFonts w:asciiTheme="minorHAnsi" w:hAnsiTheme="minorHAnsi"/>
        </w:rPr>
        <w:t>C</w:t>
      </w:r>
      <w:r w:rsidR="00ED0A88">
        <w:rPr>
          <w:rFonts w:asciiTheme="minorHAnsi" w:hAnsiTheme="minorHAnsi"/>
        </w:rPr>
        <w:t>AA</w:t>
      </w:r>
      <w:r w:rsidRPr="00C13CCA">
        <w:rPr>
          <w:rFonts w:asciiTheme="minorHAnsi" w:hAnsiTheme="minorHAnsi"/>
        </w:rPr>
        <w:t xml:space="preserve"> </w:t>
      </w:r>
      <w:r w:rsidR="009969F2" w:rsidRPr="00C13CCA">
        <w:rPr>
          <w:rFonts w:asciiTheme="minorHAnsi" w:hAnsiTheme="minorHAnsi"/>
        </w:rPr>
        <w:t xml:space="preserve">can be fully executed </w:t>
      </w:r>
      <w:r w:rsidR="00062B9C">
        <w:rPr>
          <w:rFonts w:asciiTheme="minorHAnsi" w:hAnsiTheme="minorHAnsi"/>
        </w:rPr>
        <w:t>before midnight, December 31</w:t>
      </w:r>
      <w:r w:rsidRPr="00C13CCA">
        <w:rPr>
          <w:rFonts w:asciiTheme="minorHAnsi" w:hAnsiTheme="minorHAnsi"/>
        </w:rPr>
        <w:t>,</w:t>
      </w:r>
      <w:r w:rsidR="00ED296A">
        <w:rPr>
          <w:rFonts w:asciiTheme="minorHAnsi" w:hAnsiTheme="minorHAnsi"/>
        </w:rPr>
        <w:t xml:space="preserve"> </w:t>
      </w:r>
      <w:r w:rsidR="00DF4876" w:rsidRPr="002070D7">
        <w:rPr>
          <w:rFonts w:asciiTheme="minorHAnsi" w:hAnsiTheme="minorHAnsi"/>
        </w:rPr>
        <w:t>202</w:t>
      </w:r>
      <w:r w:rsidR="00DA605D" w:rsidRPr="002070D7">
        <w:rPr>
          <w:rFonts w:asciiTheme="minorHAnsi" w:hAnsiTheme="minorHAnsi"/>
        </w:rPr>
        <w:t>5</w:t>
      </w:r>
      <w:r w:rsidR="00ED0A88">
        <w:rPr>
          <w:rFonts w:asciiTheme="minorHAnsi" w:hAnsiTheme="minorHAnsi"/>
        </w:rPr>
        <w:t xml:space="preserve">, </w:t>
      </w:r>
      <w:r w:rsidR="00062B9C">
        <w:rPr>
          <w:rFonts w:asciiTheme="minorHAnsi" w:hAnsiTheme="minorHAnsi"/>
        </w:rPr>
        <w:t>a federal deadline that cannot be extended.</w:t>
      </w:r>
    </w:p>
    <w:p w14:paraId="08FECAD4" w14:textId="77777777" w:rsidR="005A726F" w:rsidRPr="00C13CCA" w:rsidRDefault="005A726F" w:rsidP="005A726F">
      <w:pPr>
        <w:jc w:val="both"/>
        <w:rPr>
          <w:rFonts w:asciiTheme="minorHAnsi" w:hAnsiTheme="minorHAnsi"/>
        </w:rPr>
      </w:pPr>
    </w:p>
    <w:p w14:paraId="31B7DE64" w14:textId="30F6F550" w:rsidR="005A726F" w:rsidRDefault="005A726F" w:rsidP="005A726F">
      <w:pPr>
        <w:ind w:left="-20"/>
        <w:jc w:val="both"/>
        <w:rPr>
          <w:rFonts w:asciiTheme="minorHAnsi" w:hAnsiTheme="minorHAnsi"/>
          <w:b/>
          <w:u w:val="single"/>
        </w:rPr>
      </w:pPr>
      <w:r w:rsidRPr="00C13CCA">
        <w:rPr>
          <w:rFonts w:asciiTheme="minorHAnsi" w:hAnsiTheme="minorHAnsi"/>
          <w:b/>
          <w:u w:val="single"/>
        </w:rPr>
        <w:t>Carryover Allocation Agreement</w:t>
      </w:r>
    </w:p>
    <w:p w14:paraId="527C9F2C" w14:textId="77777777" w:rsidR="00257EEE" w:rsidRDefault="00257EEE" w:rsidP="005A726F">
      <w:pPr>
        <w:ind w:left="-20"/>
        <w:jc w:val="both"/>
        <w:rPr>
          <w:rFonts w:asciiTheme="minorHAnsi" w:hAnsiTheme="minorHAnsi"/>
          <w:b/>
          <w:u w:val="single"/>
        </w:rPr>
      </w:pPr>
    </w:p>
    <w:p w14:paraId="75DB5EB8" w14:textId="6A376150" w:rsidR="00B54C7C" w:rsidRPr="00C13CCA" w:rsidRDefault="00B30B8E" w:rsidP="0094685A">
      <w:pPr>
        <w:jc w:val="both"/>
        <w:rPr>
          <w:rFonts w:asciiTheme="minorHAnsi" w:hAnsiTheme="minorHAnsi"/>
        </w:rPr>
      </w:pPr>
      <w:r>
        <w:rPr>
          <w:rFonts w:asciiTheme="minorHAnsi" w:hAnsiTheme="minorHAnsi"/>
        </w:rPr>
        <w:t>T</w:t>
      </w:r>
      <w:r w:rsidR="00383042" w:rsidRPr="00C13CCA">
        <w:rPr>
          <w:rFonts w:asciiTheme="minorHAnsi" w:hAnsiTheme="minorHAnsi"/>
        </w:rPr>
        <w:t xml:space="preserve">he Carryover Allocation Agreement conveys the allocation of tax credits pursuant to IRC §42(h)(1). </w:t>
      </w:r>
      <w:r w:rsidR="00B54C7C" w:rsidRPr="00C13CCA">
        <w:rPr>
          <w:rFonts w:asciiTheme="minorHAnsi" w:hAnsiTheme="minorHAnsi"/>
        </w:rPr>
        <w:t xml:space="preserve">A Carryover Allocation Agreement will be transmitted to the Development Owner by Department staff for the Owner’s review and execution. If revisions are necessary, the Owner must request </w:t>
      </w:r>
      <w:r w:rsidR="00ED0A88">
        <w:rPr>
          <w:rFonts w:asciiTheme="minorHAnsi" w:hAnsiTheme="minorHAnsi"/>
        </w:rPr>
        <w:t xml:space="preserve">that </w:t>
      </w:r>
      <w:r w:rsidR="00B54C7C" w:rsidRPr="00C13CCA">
        <w:rPr>
          <w:rFonts w:asciiTheme="minorHAnsi" w:hAnsiTheme="minorHAnsi"/>
        </w:rPr>
        <w:t xml:space="preserve">staff make them. </w:t>
      </w:r>
    </w:p>
    <w:p w14:paraId="7BCDA21D" w14:textId="77777777" w:rsidR="00324B40" w:rsidRPr="00C13CCA" w:rsidRDefault="00324B40" w:rsidP="00961659">
      <w:pPr>
        <w:jc w:val="both"/>
        <w:rPr>
          <w:rFonts w:asciiTheme="minorHAnsi" w:hAnsiTheme="minorHAnsi"/>
        </w:rPr>
      </w:pPr>
    </w:p>
    <w:p w14:paraId="25A97A05" w14:textId="5C0431B6" w:rsidR="00B30B8E" w:rsidRDefault="00B30B8E" w:rsidP="00961659">
      <w:pPr>
        <w:numPr>
          <w:ilvl w:val="0"/>
          <w:numId w:val="18"/>
        </w:numPr>
        <w:jc w:val="both"/>
        <w:rPr>
          <w:rFonts w:asciiTheme="minorHAnsi" w:hAnsiTheme="minorHAnsi"/>
        </w:rPr>
      </w:pPr>
      <w:r>
        <w:rPr>
          <w:rFonts w:asciiTheme="minorHAnsi" w:hAnsiTheme="minorHAnsi"/>
        </w:rPr>
        <w:t>If the CA</w:t>
      </w:r>
      <w:r w:rsidR="00ED0A88">
        <w:rPr>
          <w:rFonts w:asciiTheme="minorHAnsi" w:hAnsiTheme="minorHAnsi"/>
        </w:rPr>
        <w:t>A</w:t>
      </w:r>
      <w:r>
        <w:rPr>
          <w:rFonts w:asciiTheme="minorHAnsi" w:hAnsiTheme="minorHAnsi"/>
        </w:rPr>
        <w:t xml:space="preserve"> is transmitted via Docu</w:t>
      </w:r>
      <w:r w:rsidR="00ED0A88">
        <w:rPr>
          <w:rFonts w:asciiTheme="minorHAnsi" w:hAnsiTheme="minorHAnsi"/>
        </w:rPr>
        <w:t>S</w:t>
      </w:r>
      <w:r>
        <w:rPr>
          <w:rFonts w:asciiTheme="minorHAnsi" w:hAnsiTheme="minorHAnsi"/>
        </w:rPr>
        <w:t xml:space="preserve">ign, the Owner must complete the signing process </w:t>
      </w:r>
      <w:r w:rsidR="009C54FA" w:rsidRPr="00C13CCA">
        <w:rPr>
          <w:rFonts w:asciiTheme="minorHAnsi" w:hAnsiTheme="minorHAnsi"/>
        </w:rPr>
        <w:t xml:space="preserve">no later than 5:00 p.m., </w:t>
      </w:r>
      <w:r w:rsidR="00ED0A88">
        <w:rPr>
          <w:rFonts w:asciiTheme="minorHAnsi" w:hAnsiTheme="minorHAnsi"/>
        </w:rPr>
        <w:t>CDT</w:t>
      </w:r>
      <w:r w:rsidR="009C54FA" w:rsidRPr="00C13CCA">
        <w:rPr>
          <w:rFonts w:asciiTheme="minorHAnsi" w:hAnsiTheme="minorHAnsi"/>
        </w:rPr>
        <w:t xml:space="preserve">, </w:t>
      </w:r>
      <w:r w:rsidR="002070D7">
        <w:rPr>
          <w:rFonts w:asciiTheme="minorHAnsi" w:hAnsiTheme="minorHAnsi"/>
        </w:rPr>
        <w:t>Mon</w:t>
      </w:r>
      <w:r w:rsidR="00DA1685">
        <w:rPr>
          <w:rFonts w:asciiTheme="minorHAnsi" w:hAnsiTheme="minorHAnsi"/>
        </w:rPr>
        <w:t>day</w:t>
      </w:r>
      <w:r w:rsidR="009C54FA" w:rsidRPr="00C13CCA">
        <w:rPr>
          <w:rFonts w:asciiTheme="minorHAnsi" w:hAnsiTheme="minorHAnsi"/>
        </w:rPr>
        <w:t xml:space="preserve">, November </w:t>
      </w:r>
      <w:r w:rsidR="002070D7">
        <w:rPr>
          <w:rFonts w:asciiTheme="minorHAnsi" w:hAnsiTheme="minorHAnsi"/>
        </w:rPr>
        <w:t>3</w:t>
      </w:r>
      <w:r w:rsidR="009C54FA" w:rsidRPr="00C13CCA">
        <w:rPr>
          <w:rFonts w:asciiTheme="minorHAnsi" w:hAnsiTheme="minorHAnsi"/>
        </w:rPr>
        <w:t xml:space="preserve">, </w:t>
      </w:r>
      <w:r w:rsidR="00DA1685" w:rsidRPr="002070D7">
        <w:rPr>
          <w:rFonts w:asciiTheme="minorHAnsi" w:hAnsiTheme="minorHAnsi"/>
        </w:rPr>
        <w:t>202</w:t>
      </w:r>
      <w:r w:rsidR="00DA605D" w:rsidRPr="002070D7">
        <w:rPr>
          <w:rFonts w:asciiTheme="minorHAnsi" w:hAnsiTheme="minorHAnsi"/>
        </w:rPr>
        <w:t>5</w:t>
      </w:r>
      <w:r w:rsidR="009C54FA" w:rsidRPr="00C13CCA">
        <w:rPr>
          <w:rFonts w:asciiTheme="minorHAnsi" w:hAnsiTheme="minorHAnsi"/>
        </w:rPr>
        <w:t xml:space="preserve">, the Carryover Documentation Delivery Date </w:t>
      </w:r>
      <w:r w:rsidR="009613FB">
        <w:rPr>
          <w:rFonts w:asciiTheme="minorHAnsi" w:hAnsiTheme="minorHAnsi"/>
        </w:rPr>
        <w:t>[</w:t>
      </w:r>
      <w:r w:rsidR="00DF4876" w:rsidRPr="002070D7">
        <w:rPr>
          <w:rFonts w:asciiTheme="minorHAnsi" w:hAnsiTheme="minorHAnsi"/>
        </w:rPr>
        <w:t>202</w:t>
      </w:r>
      <w:r w:rsidR="00DA605D" w:rsidRPr="002070D7">
        <w:rPr>
          <w:rFonts w:asciiTheme="minorHAnsi" w:hAnsiTheme="minorHAnsi"/>
        </w:rPr>
        <w:t>5</w:t>
      </w:r>
      <w:r w:rsidR="00DF4876" w:rsidRPr="002070D7">
        <w:rPr>
          <w:rFonts w:asciiTheme="minorHAnsi" w:hAnsiTheme="minorHAnsi"/>
        </w:rPr>
        <w:t xml:space="preserve"> </w:t>
      </w:r>
      <w:r w:rsidR="009C54FA" w:rsidRPr="00C13CCA">
        <w:rPr>
          <w:rFonts w:asciiTheme="minorHAnsi" w:hAnsiTheme="minorHAnsi"/>
        </w:rPr>
        <w:t>QAP, 10 TAC §11.2</w:t>
      </w:r>
      <w:r w:rsidR="009613FB">
        <w:rPr>
          <w:rFonts w:asciiTheme="minorHAnsi" w:hAnsiTheme="minorHAnsi"/>
        </w:rPr>
        <w:t>(a</w:t>
      </w:r>
      <w:r w:rsidR="009C54FA" w:rsidRPr="00C13CCA">
        <w:rPr>
          <w:rFonts w:asciiTheme="minorHAnsi" w:hAnsiTheme="minorHAnsi"/>
        </w:rPr>
        <w:t>)</w:t>
      </w:r>
      <w:r w:rsidR="00421747">
        <w:rPr>
          <w:rFonts w:asciiTheme="minorHAnsi" w:hAnsiTheme="minorHAnsi"/>
        </w:rPr>
        <w:t xml:space="preserve"> and 10 TAC </w:t>
      </w:r>
      <w:r w:rsidR="00421747">
        <w:rPr>
          <w:rFonts w:asciiTheme="minorHAnsi" w:hAnsiTheme="minorHAnsi" w:cstheme="minorHAnsi"/>
        </w:rPr>
        <w:t>§</w:t>
      </w:r>
      <w:r w:rsidR="00421747">
        <w:rPr>
          <w:rFonts w:asciiTheme="minorHAnsi" w:hAnsiTheme="minorHAnsi"/>
        </w:rPr>
        <w:t>11.1(f)</w:t>
      </w:r>
      <w:r w:rsidR="009613FB">
        <w:rPr>
          <w:rFonts w:asciiTheme="minorHAnsi" w:hAnsiTheme="minorHAnsi"/>
        </w:rPr>
        <w:t>]</w:t>
      </w:r>
      <w:r w:rsidR="00421747">
        <w:rPr>
          <w:rFonts w:asciiTheme="minorHAnsi" w:hAnsiTheme="minorHAnsi"/>
        </w:rPr>
        <w:t>.</w:t>
      </w:r>
    </w:p>
    <w:p w14:paraId="5A1A9121" w14:textId="77777777" w:rsidR="00B30B8E" w:rsidRDefault="00B30B8E" w:rsidP="00961659">
      <w:pPr>
        <w:ind w:left="1080"/>
        <w:jc w:val="both"/>
        <w:rPr>
          <w:rFonts w:asciiTheme="minorHAnsi" w:hAnsiTheme="minorHAnsi"/>
        </w:rPr>
      </w:pPr>
    </w:p>
    <w:p w14:paraId="1AD13AAF" w14:textId="7977E912" w:rsidR="005A726F" w:rsidRPr="00C13CCA" w:rsidRDefault="00B30B8E" w:rsidP="00961659">
      <w:pPr>
        <w:numPr>
          <w:ilvl w:val="0"/>
          <w:numId w:val="18"/>
        </w:numPr>
        <w:jc w:val="both"/>
        <w:rPr>
          <w:rFonts w:asciiTheme="minorHAnsi" w:hAnsiTheme="minorHAnsi"/>
        </w:rPr>
      </w:pPr>
      <w:r>
        <w:rPr>
          <w:rFonts w:asciiTheme="minorHAnsi" w:hAnsiTheme="minorHAnsi"/>
        </w:rPr>
        <w:t>If t</w:t>
      </w:r>
      <w:r w:rsidRPr="00C13CCA">
        <w:rPr>
          <w:rFonts w:asciiTheme="minorHAnsi" w:hAnsiTheme="minorHAnsi"/>
        </w:rPr>
        <w:t xml:space="preserve">he </w:t>
      </w:r>
      <w:r w:rsidR="005A726F" w:rsidRPr="00C13CCA">
        <w:rPr>
          <w:rFonts w:asciiTheme="minorHAnsi" w:hAnsiTheme="minorHAnsi"/>
        </w:rPr>
        <w:t>C</w:t>
      </w:r>
      <w:r w:rsidR="00ED0A88">
        <w:rPr>
          <w:rFonts w:asciiTheme="minorHAnsi" w:hAnsiTheme="minorHAnsi"/>
        </w:rPr>
        <w:t>AA</w:t>
      </w:r>
      <w:r w:rsidR="005A726F" w:rsidRPr="00C13CCA">
        <w:rPr>
          <w:rFonts w:asciiTheme="minorHAnsi" w:hAnsiTheme="minorHAnsi"/>
        </w:rPr>
        <w:t xml:space="preserve"> </w:t>
      </w:r>
      <w:r w:rsidR="003E6559">
        <w:rPr>
          <w:rFonts w:asciiTheme="minorHAnsi" w:hAnsiTheme="minorHAnsi"/>
        </w:rPr>
        <w:t>is delivered as a paper document,</w:t>
      </w:r>
      <w:r>
        <w:rPr>
          <w:rFonts w:asciiTheme="minorHAnsi" w:hAnsiTheme="minorHAnsi"/>
        </w:rPr>
        <w:t xml:space="preserve"> it </w:t>
      </w:r>
      <w:r w:rsidRPr="00C13CCA">
        <w:rPr>
          <w:rFonts w:asciiTheme="minorHAnsi" w:hAnsiTheme="minorHAnsi"/>
        </w:rPr>
        <w:t xml:space="preserve">must be physically delivered to the Department no later than 5:00 p.m., </w:t>
      </w:r>
      <w:r w:rsidR="00ED0A88">
        <w:rPr>
          <w:rFonts w:asciiTheme="minorHAnsi" w:hAnsiTheme="minorHAnsi"/>
        </w:rPr>
        <w:t>CDT</w:t>
      </w:r>
      <w:r w:rsidRPr="00C13CCA">
        <w:rPr>
          <w:rFonts w:asciiTheme="minorHAnsi" w:hAnsiTheme="minorHAnsi"/>
        </w:rPr>
        <w:t xml:space="preserve">, </w:t>
      </w:r>
      <w:r w:rsidR="002070D7">
        <w:rPr>
          <w:rFonts w:asciiTheme="minorHAnsi" w:hAnsiTheme="minorHAnsi"/>
        </w:rPr>
        <w:t>Mon</w:t>
      </w:r>
      <w:r w:rsidR="00DA1685">
        <w:rPr>
          <w:rFonts w:asciiTheme="minorHAnsi" w:hAnsiTheme="minorHAnsi"/>
        </w:rPr>
        <w:t>day</w:t>
      </w:r>
      <w:r w:rsidRPr="00C13CCA">
        <w:rPr>
          <w:rFonts w:asciiTheme="minorHAnsi" w:hAnsiTheme="minorHAnsi"/>
        </w:rPr>
        <w:t xml:space="preserve">, November </w:t>
      </w:r>
      <w:r w:rsidR="002070D7">
        <w:rPr>
          <w:rFonts w:asciiTheme="minorHAnsi" w:hAnsiTheme="minorHAnsi"/>
        </w:rPr>
        <w:t>3</w:t>
      </w:r>
      <w:r w:rsidRPr="00C13CCA">
        <w:rPr>
          <w:rFonts w:asciiTheme="minorHAnsi" w:hAnsiTheme="minorHAnsi"/>
        </w:rPr>
        <w:t xml:space="preserve">, </w:t>
      </w:r>
      <w:r w:rsidR="00DA1685" w:rsidRPr="002070D7">
        <w:rPr>
          <w:rFonts w:asciiTheme="minorHAnsi" w:hAnsiTheme="minorHAnsi"/>
        </w:rPr>
        <w:t>202</w:t>
      </w:r>
      <w:r w:rsidR="00DA605D" w:rsidRPr="002070D7">
        <w:rPr>
          <w:rFonts w:asciiTheme="minorHAnsi" w:hAnsiTheme="minorHAnsi"/>
        </w:rPr>
        <w:t>5</w:t>
      </w:r>
      <w:r w:rsidR="00DA1685" w:rsidRPr="002070D7">
        <w:rPr>
          <w:rFonts w:asciiTheme="minorHAnsi" w:hAnsiTheme="minorHAnsi"/>
        </w:rPr>
        <w:t xml:space="preserve"> </w:t>
      </w:r>
      <w:r w:rsidR="009613FB">
        <w:rPr>
          <w:rFonts w:asciiTheme="minorHAnsi" w:hAnsiTheme="minorHAnsi"/>
        </w:rPr>
        <w:t>[</w:t>
      </w:r>
      <w:r w:rsidRPr="00C13CCA">
        <w:rPr>
          <w:rFonts w:asciiTheme="minorHAnsi" w:hAnsiTheme="minorHAnsi"/>
        </w:rPr>
        <w:t>Carryover Documentation Delivery Date</w:t>
      </w:r>
      <w:r w:rsidR="003E6559">
        <w:rPr>
          <w:rFonts w:asciiTheme="minorHAnsi" w:hAnsiTheme="minorHAnsi"/>
        </w:rPr>
        <w:t>,</w:t>
      </w:r>
      <w:r w:rsidRPr="00C13CCA">
        <w:rPr>
          <w:rFonts w:asciiTheme="minorHAnsi" w:hAnsiTheme="minorHAnsi"/>
        </w:rPr>
        <w:t xml:space="preserve"> </w:t>
      </w:r>
      <w:r w:rsidR="00DA1685" w:rsidRPr="002070D7">
        <w:rPr>
          <w:rFonts w:asciiTheme="minorHAnsi" w:hAnsiTheme="minorHAnsi"/>
        </w:rPr>
        <w:t>202</w:t>
      </w:r>
      <w:r w:rsidR="00DA605D" w:rsidRPr="002070D7">
        <w:rPr>
          <w:rFonts w:asciiTheme="minorHAnsi" w:hAnsiTheme="minorHAnsi"/>
        </w:rPr>
        <w:t>5</w:t>
      </w:r>
      <w:r w:rsidR="00DA1685" w:rsidRPr="002070D7">
        <w:rPr>
          <w:rFonts w:asciiTheme="minorHAnsi" w:hAnsiTheme="minorHAnsi"/>
        </w:rPr>
        <w:t xml:space="preserve"> </w:t>
      </w:r>
      <w:r w:rsidRPr="00C13CCA">
        <w:rPr>
          <w:rFonts w:asciiTheme="minorHAnsi" w:hAnsiTheme="minorHAnsi"/>
        </w:rPr>
        <w:t>QAP, 10 TAC §11.2</w:t>
      </w:r>
      <w:r w:rsidR="003E6559">
        <w:rPr>
          <w:rFonts w:asciiTheme="minorHAnsi" w:hAnsiTheme="minorHAnsi"/>
        </w:rPr>
        <w:t>(a)</w:t>
      </w:r>
      <w:r w:rsidR="00421747">
        <w:rPr>
          <w:rFonts w:asciiTheme="minorHAnsi" w:hAnsiTheme="minorHAnsi"/>
        </w:rPr>
        <w:t xml:space="preserve"> </w:t>
      </w:r>
      <w:r w:rsidR="008A2514">
        <w:rPr>
          <w:rFonts w:asciiTheme="minorHAnsi" w:hAnsiTheme="minorHAnsi"/>
        </w:rPr>
        <w:t>as modified by</w:t>
      </w:r>
      <w:r w:rsidR="00421747">
        <w:rPr>
          <w:rFonts w:asciiTheme="minorHAnsi" w:hAnsiTheme="minorHAnsi"/>
        </w:rPr>
        <w:t xml:space="preserve"> </w:t>
      </w:r>
      <w:r w:rsidR="00421747">
        <w:rPr>
          <w:rFonts w:asciiTheme="minorHAnsi" w:hAnsiTheme="minorHAnsi" w:cstheme="minorHAnsi"/>
        </w:rPr>
        <w:t>§</w:t>
      </w:r>
      <w:r w:rsidR="00421747">
        <w:rPr>
          <w:rFonts w:asciiTheme="minorHAnsi" w:hAnsiTheme="minorHAnsi"/>
        </w:rPr>
        <w:t>11.1(f)</w:t>
      </w:r>
      <w:r w:rsidR="009613FB">
        <w:rPr>
          <w:rFonts w:asciiTheme="minorHAnsi" w:hAnsiTheme="minorHAnsi"/>
        </w:rPr>
        <w:t>]</w:t>
      </w:r>
      <w:r w:rsidR="003E6559">
        <w:rPr>
          <w:rFonts w:asciiTheme="minorHAnsi" w:hAnsiTheme="minorHAnsi"/>
        </w:rPr>
        <w:t>,</w:t>
      </w:r>
      <w:r w:rsidR="00B54C7C" w:rsidRPr="00C13CCA">
        <w:rPr>
          <w:rFonts w:asciiTheme="minorHAnsi" w:hAnsiTheme="minorHAnsi"/>
        </w:rPr>
        <w:t xml:space="preserve"> </w:t>
      </w:r>
      <w:r w:rsidR="005A726F" w:rsidRPr="00C13CCA">
        <w:rPr>
          <w:rFonts w:asciiTheme="minorHAnsi" w:hAnsiTheme="minorHAnsi"/>
        </w:rPr>
        <w:t>on paper</w:t>
      </w:r>
      <w:r w:rsidR="0034561C" w:rsidRPr="00C13CCA">
        <w:rPr>
          <w:rFonts w:asciiTheme="minorHAnsi" w:hAnsiTheme="minorHAnsi"/>
        </w:rPr>
        <w:t xml:space="preserve"> (</w:t>
      </w:r>
      <w:r w:rsidR="00F36DE6" w:rsidRPr="00C13CCA">
        <w:rPr>
          <w:rFonts w:asciiTheme="minorHAnsi" w:hAnsiTheme="minorHAnsi"/>
        </w:rPr>
        <w:t>PRINTED ON ONE SIDE PER PAGE, ONLY, PLEASE</w:t>
      </w:r>
      <w:r w:rsidR="0034561C" w:rsidRPr="00C13CCA">
        <w:rPr>
          <w:rFonts w:asciiTheme="minorHAnsi" w:hAnsiTheme="minorHAnsi"/>
        </w:rPr>
        <w:t>)</w:t>
      </w:r>
      <w:r w:rsidR="005A726F" w:rsidRPr="00C13CCA">
        <w:rPr>
          <w:rFonts w:asciiTheme="minorHAnsi" w:hAnsiTheme="minorHAnsi"/>
        </w:rPr>
        <w:t xml:space="preserve">, </w:t>
      </w:r>
      <w:r w:rsidR="003E6559" w:rsidRPr="00C13CCA">
        <w:rPr>
          <w:rFonts w:asciiTheme="minorHAnsi" w:hAnsiTheme="minorHAnsi"/>
        </w:rPr>
        <w:t>as an original document</w:t>
      </w:r>
      <w:r w:rsidR="003E6559">
        <w:rPr>
          <w:rFonts w:asciiTheme="minorHAnsi" w:hAnsiTheme="minorHAnsi"/>
        </w:rPr>
        <w:t>,</w:t>
      </w:r>
      <w:r w:rsidR="003E6559" w:rsidRPr="00C13CCA">
        <w:rPr>
          <w:rFonts w:asciiTheme="minorHAnsi" w:hAnsiTheme="minorHAnsi"/>
        </w:rPr>
        <w:t xml:space="preserve"> </w:t>
      </w:r>
      <w:r w:rsidR="0003506B" w:rsidRPr="00C13CCA">
        <w:rPr>
          <w:rFonts w:asciiTheme="minorHAnsi" w:hAnsiTheme="minorHAnsi"/>
        </w:rPr>
        <w:t>signed and</w:t>
      </w:r>
      <w:r w:rsidR="00421747">
        <w:rPr>
          <w:rFonts w:asciiTheme="minorHAnsi" w:hAnsiTheme="minorHAnsi"/>
        </w:rPr>
        <w:t>, if applicable,</w:t>
      </w:r>
      <w:r w:rsidR="0003506B" w:rsidRPr="00C13CCA">
        <w:rPr>
          <w:rFonts w:asciiTheme="minorHAnsi" w:hAnsiTheme="minorHAnsi"/>
        </w:rPr>
        <w:t xml:space="preserve"> notarized in ink</w:t>
      </w:r>
      <w:r w:rsidR="005A726F" w:rsidRPr="00C13CCA">
        <w:rPr>
          <w:rFonts w:asciiTheme="minorHAnsi" w:hAnsiTheme="minorHAnsi"/>
        </w:rPr>
        <w:t>.</w:t>
      </w:r>
    </w:p>
    <w:p w14:paraId="67C500B2" w14:textId="77777777" w:rsidR="008A69AE" w:rsidRPr="00C13CCA" w:rsidRDefault="008A69AE" w:rsidP="00961659">
      <w:pPr>
        <w:ind w:left="1080"/>
        <w:jc w:val="both"/>
        <w:rPr>
          <w:rFonts w:asciiTheme="minorHAnsi" w:hAnsiTheme="minorHAnsi"/>
        </w:rPr>
      </w:pPr>
    </w:p>
    <w:p w14:paraId="0BB8A48E" w14:textId="77777777" w:rsidR="00E83D04" w:rsidRPr="00C13CCA" w:rsidRDefault="00E83D04" w:rsidP="00961659">
      <w:pPr>
        <w:numPr>
          <w:ilvl w:val="0"/>
          <w:numId w:val="18"/>
        </w:numPr>
        <w:jc w:val="both"/>
        <w:rPr>
          <w:rFonts w:asciiTheme="minorHAnsi" w:hAnsiTheme="minorHAnsi"/>
        </w:rPr>
      </w:pPr>
      <w:r w:rsidRPr="00C13CCA">
        <w:rPr>
          <w:rFonts w:asciiTheme="minorHAnsi" w:hAnsiTheme="minorHAnsi"/>
        </w:rPr>
        <w:t>Development Owners are responsible for all information in the Carryover Allocation Agreement. Therefore, Owners should review all entries for accuracy. Revisions will be made by Department staff as stated above.</w:t>
      </w:r>
    </w:p>
    <w:p w14:paraId="458D80AD" w14:textId="77777777" w:rsidR="00324B40" w:rsidRPr="00C13CCA" w:rsidRDefault="00324B40" w:rsidP="00961659">
      <w:pPr>
        <w:ind w:left="360"/>
        <w:jc w:val="both"/>
        <w:rPr>
          <w:rFonts w:asciiTheme="minorHAnsi" w:hAnsiTheme="minorHAnsi"/>
        </w:rPr>
      </w:pPr>
    </w:p>
    <w:p w14:paraId="7AA95FFA" w14:textId="532A8DF6" w:rsidR="00E83D04" w:rsidRDefault="00E83D04" w:rsidP="00961659">
      <w:pPr>
        <w:numPr>
          <w:ilvl w:val="0"/>
          <w:numId w:val="18"/>
        </w:numPr>
        <w:jc w:val="both"/>
        <w:rPr>
          <w:rFonts w:asciiTheme="minorHAnsi" w:hAnsiTheme="minorHAnsi"/>
        </w:rPr>
      </w:pPr>
      <w:r w:rsidRPr="00C13CCA">
        <w:rPr>
          <w:rFonts w:asciiTheme="minorHAnsi" w:hAnsiTheme="minorHAnsi"/>
        </w:rPr>
        <w:t>The Taxpayer’s Reasonably Expected Basis (TREB) stated in the C</w:t>
      </w:r>
      <w:r w:rsidR="00ED0A88">
        <w:rPr>
          <w:rFonts w:asciiTheme="minorHAnsi" w:hAnsiTheme="minorHAnsi"/>
        </w:rPr>
        <w:t>AA</w:t>
      </w:r>
      <w:r w:rsidRPr="00C13CCA">
        <w:rPr>
          <w:rFonts w:asciiTheme="minorHAnsi" w:hAnsiTheme="minorHAnsi"/>
        </w:rPr>
        <w:t xml:space="preserve"> must be sufficient to support the value of the tax credits allocated. Therefore, the TREB minus the land value must be greater than or equal to the eligible basis used in calculating the credit award by the eligible basis method (as </w:t>
      </w:r>
      <w:r w:rsidR="00ED0A88">
        <w:rPr>
          <w:rFonts w:asciiTheme="minorHAnsi" w:hAnsiTheme="minorHAnsi"/>
        </w:rPr>
        <w:t xml:space="preserve">compared </w:t>
      </w:r>
      <w:r w:rsidRPr="00C13CCA">
        <w:rPr>
          <w:rFonts w:asciiTheme="minorHAnsi" w:hAnsiTheme="minorHAnsi"/>
        </w:rPr>
        <w:t>to the gap method or owner’s request). Generally, TREB includes the value of the site and all items of eligible basis. Other items of cost that can be depreciated or capitalized for tax purposes may also be included.</w:t>
      </w:r>
      <w:r w:rsidR="00524DBC" w:rsidRPr="00C13CCA">
        <w:rPr>
          <w:rFonts w:asciiTheme="minorHAnsi" w:hAnsiTheme="minorHAnsi"/>
        </w:rPr>
        <w:t xml:space="preserve"> It is important to remember that the limits and exclusions that are applied for underwriting purposes to “voluntary” eligible basis, “voluntary” costs, demolition cost, contingency amounts, contractor fees, soft costs, and developer fees, generally do not apply to the amounts that should be included in </w:t>
      </w:r>
      <w:r w:rsidR="002A6E47">
        <w:rPr>
          <w:rFonts w:asciiTheme="minorHAnsi" w:hAnsiTheme="minorHAnsi"/>
        </w:rPr>
        <w:t>TREB</w:t>
      </w:r>
      <w:r w:rsidR="00524DBC" w:rsidRPr="00C13CCA">
        <w:rPr>
          <w:rFonts w:asciiTheme="minorHAnsi" w:hAnsiTheme="minorHAnsi"/>
        </w:rPr>
        <w:t xml:space="preserve">. </w:t>
      </w:r>
      <w:r w:rsidRPr="00961659">
        <w:rPr>
          <w:rFonts w:asciiTheme="minorHAnsi" w:hAnsiTheme="minorHAnsi"/>
        </w:rPr>
        <w:t>A CPA or tax attorney should be consulted to assure the validity and sufficiency of the TREB</w:t>
      </w:r>
      <w:r w:rsidR="00524DBC" w:rsidRPr="00961659">
        <w:rPr>
          <w:rFonts w:asciiTheme="minorHAnsi" w:hAnsiTheme="minorHAnsi"/>
        </w:rPr>
        <w:t xml:space="preserve"> because a TREB that is insupportably low can invalidate the </w:t>
      </w:r>
      <w:r w:rsidR="0005781B" w:rsidRPr="00961659">
        <w:rPr>
          <w:rFonts w:asciiTheme="minorHAnsi" w:hAnsiTheme="minorHAnsi"/>
        </w:rPr>
        <w:t>carryover allocation</w:t>
      </w:r>
      <w:r w:rsidRPr="00C13CCA">
        <w:rPr>
          <w:rFonts w:asciiTheme="minorHAnsi" w:hAnsiTheme="minorHAnsi"/>
        </w:rPr>
        <w:t>.</w:t>
      </w:r>
    </w:p>
    <w:p w14:paraId="4ED403EA" w14:textId="77777777" w:rsidR="00D93FB1" w:rsidRPr="00C13CCA" w:rsidRDefault="00D93FB1" w:rsidP="00E10558">
      <w:pPr>
        <w:ind w:left="360"/>
        <w:jc w:val="both"/>
        <w:rPr>
          <w:rFonts w:asciiTheme="minorHAnsi" w:hAnsiTheme="minorHAnsi"/>
        </w:rPr>
      </w:pPr>
    </w:p>
    <w:p w14:paraId="36A6F8DB" w14:textId="2E487410" w:rsidR="00E83D04" w:rsidRPr="00C13CCA" w:rsidRDefault="00AB6A84" w:rsidP="00E10558">
      <w:pPr>
        <w:numPr>
          <w:ilvl w:val="0"/>
          <w:numId w:val="18"/>
        </w:numPr>
        <w:jc w:val="both"/>
        <w:rPr>
          <w:rFonts w:asciiTheme="minorHAnsi" w:hAnsiTheme="minorHAnsi"/>
        </w:rPr>
      </w:pPr>
      <w:r w:rsidRPr="00E10558">
        <w:rPr>
          <w:rFonts w:asciiTheme="minorHAnsi" w:hAnsiTheme="minorHAnsi"/>
          <w:b/>
          <w:bCs/>
        </w:rPr>
        <w:t>Elections</w:t>
      </w:r>
      <w:r w:rsidR="002D5C90" w:rsidRPr="00E10558">
        <w:rPr>
          <w:rFonts w:asciiTheme="minorHAnsi" w:hAnsiTheme="minorHAnsi"/>
          <w:b/>
          <w:bCs/>
        </w:rPr>
        <w:t xml:space="preserve"> </w:t>
      </w:r>
      <w:r w:rsidR="002736C8" w:rsidRPr="00E10558">
        <w:rPr>
          <w:rFonts w:asciiTheme="minorHAnsi" w:hAnsiTheme="minorHAnsi"/>
          <w:b/>
          <w:bCs/>
        </w:rPr>
        <w:t xml:space="preserve">have no effect on </w:t>
      </w:r>
      <w:r w:rsidR="002D5C90" w:rsidRPr="00E10558">
        <w:rPr>
          <w:rFonts w:asciiTheme="minorHAnsi" w:hAnsiTheme="minorHAnsi"/>
          <w:b/>
          <w:bCs/>
        </w:rPr>
        <w:t>the applicable percentage</w:t>
      </w:r>
      <w:r w:rsidR="00BF68F0" w:rsidRPr="00E10558">
        <w:rPr>
          <w:rFonts w:asciiTheme="minorHAnsi" w:hAnsiTheme="minorHAnsi"/>
          <w:b/>
          <w:bCs/>
        </w:rPr>
        <w:t xml:space="preserve"> </w:t>
      </w:r>
      <w:r w:rsidR="002736C8" w:rsidRPr="00E10558">
        <w:rPr>
          <w:rFonts w:asciiTheme="minorHAnsi" w:hAnsiTheme="minorHAnsi"/>
          <w:b/>
          <w:bCs/>
        </w:rPr>
        <w:t xml:space="preserve">unless </w:t>
      </w:r>
      <w:r w:rsidR="00A414E9" w:rsidRPr="00E10558">
        <w:rPr>
          <w:rFonts w:asciiTheme="minorHAnsi" w:hAnsiTheme="minorHAnsi"/>
          <w:b/>
          <w:bCs/>
        </w:rPr>
        <w:t xml:space="preserve">the published rate for the month of the election is higher than 9% for </w:t>
      </w:r>
      <w:r w:rsidR="002736C8" w:rsidRPr="00E10558">
        <w:rPr>
          <w:rFonts w:asciiTheme="minorHAnsi" w:hAnsiTheme="minorHAnsi"/>
          <w:b/>
          <w:bCs/>
        </w:rPr>
        <w:t xml:space="preserve">any </w:t>
      </w:r>
      <w:r w:rsidR="00A414E9" w:rsidRPr="00E10558">
        <w:rPr>
          <w:rFonts w:asciiTheme="minorHAnsi" w:hAnsiTheme="minorHAnsi"/>
          <w:b/>
          <w:bCs/>
        </w:rPr>
        <w:t xml:space="preserve">non-federally subsidized </w:t>
      </w:r>
      <w:r w:rsidR="002736C8" w:rsidRPr="00E10558">
        <w:rPr>
          <w:rFonts w:asciiTheme="minorHAnsi" w:hAnsiTheme="minorHAnsi"/>
          <w:b/>
          <w:bCs/>
        </w:rPr>
        <w:t xml:space="preserve">new building or </w:t>
      </w:r>
      <w:r w:rsidR="0041132D" w:rsidRPr="00E10558">
        <w:rPr>
          <w:rFonts w:asciiTheme="minorHAnsi" w:hAnsiTheme="minorHAnsi"/>
          <w:b/>
          <w:bCs/>
        </w:rPr>
        <w:t xml:space="preserve">higher than </w:t>
      </w:r>
      <w:r w:rsidR="002736C8" w:rsidRPr="00E10558">
        <w:rPr>
          <w:rFonts w:asciiTheme="minorHAnsi" w:hAnsiTheme="minorHAnsi"/>
          <w:b/>
          <w:bCs/>
        </w:rPr>
        <w:t>4% for any other new or existing building</w:t>
      </w:r>
      <w:r w:rsidR="002736C8" w:rsidRPr="00E10558">
        <w:rPr>
          <w:rFonts w:asciiTheme="minorHAnsi" w:hAnsiTheme="minorHAnsi"/>
        </w:rPr>
        <w:t xml:space="preserve">. </w:t>
      </w:r>
      <w:r w:rsidR="00E10558">
        <w:rPr>
          <w:rFonts w:asciiTheme="minorHAnsi" w:hAnsiTheme="minorHAnsi"/>
        </w:rPr>
        <w:t xml:space="preserve">Section </w:t>
      </w:r>
      <w:r w:rsidR="0041132D" w:rsidRPr="00E10558">
        <w:rPr>
          <w:rFonts w:asciiTheme="minorHAnsi" w:hAnsiTheme="minorHAnsi"/>
        </w:rPr>
        <w:t>§42(b)(2)(B) established the 9% minimum</w:t>
      </w:r>
      <w:r w:rsidR="00B75E99">
        <w:rPr>
          <w:rFonts w:asciiTheme="minorHAnsi" w:hAnsiTheme="minorHAnsi"/>
        </w:rPr>
        <w:t>,</w:t>
      </w:r>
      <w:r w:rsidR="0041132D" w:rsidRPr="00E10558">
        <w:rPr>
          <w:rFonts w:asciiTheme="minorHAnsi" w:hAnsiTheme="minorHAnsi"/>
        </w:rPr>
        <w:t xml:space="preserve"> and</w:t>
      </w:r>
      <w:r w:rsidR="009A26E1" w:rsidRPr="00E10558">
        <w:rPr>
          <w:rFonts w:asciiTheme="minorHAnsi" w:hAnsiTheme="minorHAnsi"/>
        </w:rPr>
        <w:t xml:space="preserve"> §42(b)(3)</w:t>
      </w:r>
      <w:r w:rsidR="0041132D" w:rsidRPr="00E10558">
        <w:rPr>
          <w:rFonts w:asciiTheme="minorHAnsi" w:hAnsiTheme="minorHAnsi"/>
        </w:rPr>
        <w:t xml:space="preserve"> established the 4% minimum. </w:t>
      </w:r>
      <w:r w:rsidR="002D5C90">
        <w:rPr>
          <w:rFonts w:asciiTheme="minorHAnsi" w:hAnsiTheme="minorHAnsi"/>
        </w:rPr>
        <w:t>IRS Notice</w:t>
      </w:r>
      <w:r w:rsidR="00C41EAD">
        <w:rPr>
          <w:rFonts w:asciiTheme="minorHAnsi" w:hAnsiTheme="minorHAnsi"/>
        </w:rPr>
        <w:t xml:space="preserve"> 2008-106</w:t>
      </w:r>
      <w:r w:rsidR="0041132D">
        <w:rPr>
          <w:rFonts w:asciiTheme="minorHAnsi" w:hAnsiTheme="minorHAnsi"/>
        </w:rPr>
        <w:t xml:space="preserve"> clarified that i</w:t>
      </w:r>
      <w:r w:rsidR="00C41EAD">
        <w:rPr>
          <w:rFonts w:asciiTheme="minorHAnsi" w:hAnsiTheme="minorHAnsi"/>
        </w:rPr>
        <w:t xml:space="preserve">f </w:t>
      </w:r>
      <w:r w:rsidR="00CF0AB8" w:rsidRPr="002D5C90">
        <w:rPr>
          <w:rFonts w:asciiTheme="minorHAnsi" w:hAnsiTheme="minorHAnsi"/>
        </w:rPr>
        <w:t xml:space="preserve">the published rate for the month of </w:t>
      </w:r>
      <w:r w:rsidR="00C41EAD">
        <w:rPr>
          <w:rFonts w:asciiTheme="minorHAnsi" w:hAnsiTheme="minorHAnsi"/>
        </w:rPr>
        <w:t>an</w:t>
      </w:r>
      <w:r w:rsidR="00CF0AB8" w:rsidRPr="002D5C90">
        <w:rPr>
          <w:rFonts w:asciiTheme="minorHAnsi" w:hAnsiTheme="minorHAnsi"/>
        </w:rPr>
        <w:t xml:space="preserve"> election is more than 9%</w:t>
      </w:r>
      <w:r w:rsidR="00C41EAD">
        <w:rPr>
          <w:rFonts w:asciiTheme="minorHAnsi" w:hAnsiTheme="minorHAnsi"/>
        </w:rPr>
        <w:t>, such higher rate can be elected</w:t>
      </w:r>
      <w:r w:rsidR="00CF0AB8" w:rsidRPr="002D5C90">
        <w:rPr>
          <w:rFonts w:asciiTheme="minorHAnsi" w:hAnsiTheme="minorHAnsi"/>
        </w:rPr>
        <w:t xml:space="preserve">. </w:t>
      </w:r>
      <w:r w:rsidR="00C41EAD">
        <w:rPr>
          <w:rFonts w:asciiTheme="minorHAnsi" w:hAnsiTheme="minorHAnsi"/>
        </w:rPr>
        <w:t xml:space="preserve">Section </w:t>
      </w:r>
      <w:r w:rsidR="00C41EAD">
        <w:rPr>
          <w:rFonts w:asciiTheme="minorHAnsi" w:hAnsiTheme="minorHAnsi"/>
        </w:rPr>
        <w:lastRenderedPageBreak/>
        <w:t xml:space="preserve">42(b)(1) continues to say that elections are irrevocable. Therefore, an election made at carryover might preclude adopting a higher rate </w:t>
      </w:r>
      <w:r w:rsidR="00B362F1">
        <w:rPr>
          <w:rFonts w:asciiTheme="minorHAnsi" w:hAnsiTheme="minorHAnsi"/>
        </w:rPr>
        <w:t xml:space="preserve">(above 9% or 4%) </w:t>
      </w:r>
      <w:r w:rsidR="00C41EAD">
        <w:rPr>
          <w:rFonts w:asciiTheme="minorHAnsi" w:hAnsiTheme="minorHAnsi"/>
        </w:rPr>
        <w:t xml:space="preserve">that might be applicable at placement in service. </w:t>
      </w:r>
      <w:r w:rsidR="00B362F1">
        <w:rPr>
          <w:rFonts w:asciiTheme="minorHAnsi" w:hAnsiTheme="minorHAnsi"/>
        </w:rPr>
        <w:t>If the published rate is higher than 9% or 4%, a</w:t>
      </w:r>
      <w:r w:rsidR="00C021E1" w:rsidRPr="002D5C90">
        <w:rPr>
          <w:rFonts w:asciiTheme="minorHAnsi" w:hAnsiTheme="minorHAnsi"/>
        </w:rPr>
        <w:t xml:space="preserve">n </w:t>
      </w:r>
      <w:r w:rsidR="00194064">
        <w:rPr>
          <w:rFonts w:asciiTheme="minorHAnsi" w:hAnsiTheme="minorHAnsi"/>
        </w:rPr>
        <w:t>e</w:t>
      </w:r>
      <w:r w:rsidR="00C021E1" w:rsidRPr="002D5C90">
        <w:rPr>
          <w:rFonts w:asciiTheme="minorHAnsi" w:hAnsiTheme="minorHAnsi"/>
        </w:rPr>
        <w:t>lection pursuant to §42(b)(1)(A)(ii)(I) to fix the applicable percentage as the rate that is effective in the month that the Depar</w:t>
      </w:r>
      <w:r w:rsidR="00C021E1">
        <w:rPr>
          <w:rFonts w:asciiTheme="minorHAnsi" w:hAnsiTheme="minorHAnsi"/>
        </w:rPr>
        <w:t xml:space="preserve">tment signs the </w:t>
      </w:r>
      <w:r w:rsidR="00C52FB0">
        <w:rPr>
          <w:rFonts w:asciiTheme="minorHAnsi" w:hAnsiTheme="minorHAnsi"/>
        </w:rPr>
        <w:t>CAA</w:t>
      </w:r>
      <w:r w:rsidR="00C021E1">
        <w:rPr>
          <w:rFonts w:asciiTheme="minorHAnsi" w:hAnsiTheme="minorHAnsi"/>
        </w:rPr>
        <w:t xml:space="preserve"> </w:t>
      </w:r>
      <w:r w:rsidR="00FD0399">
        <w:rPr>
          <w:rFonts w:asciiTheme="minorHAnsi" w:hAnsiTheme="minorHAnsi"/>
        </w:rPr>
        <w:t>is</w:t>
      </w:r>
      <w:r w:rsidR="00C021E1">
        <w:rPr>
          <w:rFonts w:asciiTheme="minorHAnsi" w:hAnsiTheme="minorHAnsi"/>
        </w:rPr>
        <w:t xml:space="preserve"> possible if the </w:t>
      </w:r>
      <w:r w:rsidR="00606AEF">
        <w:rPr>
          <w:rFonts w:asciiTheme="minorHAnsi" w:hAnsiTheme="minorHAnsi"/>
        </w:rPr>
        <w:t xml:space="preserve">Owner informs the Department </w:t>
      </w:r>
      <w:r w:rsidR="00C021E1">
        <w:rPr>
          <w:rFonts w:asciiTheme="minorHAnsi" w:hAnsiTheme="minorHAnsi"/>
        </w:rPr>
        <w:t>that it desires to make such election</w:t>
      </w:r>
      <w:r w:rsidR="00C52FB0">
        <w:rPr>
          <w:rFonts w:asciiTheme="minorHAnsi" w:hAnsiTheme="minorHAnsi"/>
        </w:rPr>
        <w:t xml:space="preserve">. </w:t>
      </w:r>
      <w:r w:rsidR="00BE48D7">
        <w:rPr>
          <w:rFonts w:asciiTheme="minorHAnsi" w:hAnsiTheme="minorHAnsi"/>
        </w:rPr>
        <w:t xml:space="preserve">The Department will </w:t>
      </w:r>
      <w:r w:rsidR="007168C3">
        <w:rPr>
          <w:rFonts w:asciiTheme="minorHAnsi" w:hAnsiTheme="minorHAnsi"/>
        </w:rPr>
        <w:t xml:space="preserve">process a CAA to </w:t>
      </w:r>
      <w:r w:rsidR="00BE48D7">
        <w:rPr>
          <w:rFonts w:asciiTheme="minorHAnsi" w:hAnsiTheme="minorHAnsi"/>
        </w:rPr>
        <w:t xml:space="preserve">include </w:t>
      </w:r>
      <w:r w:rsidR="007168C3">
        <w:rPr>
          <w:rFonts w:asciiTheme="minorHAnsi" w:hAnsiTheme="minorHAnsi"/>
        </w:rPr>
        <w:t xml:space="preserve">an </w:t>
      </w:r>
      <w:r w:rsidR="008640D3">
        <w:rPr>
          <w:rFonts w:asciiTheme="minorHAnsi" w:hAnsiTheme="minorHAnsi"/>
        </w:rPr>
        <w:t xml:space="preserve">election </w:t>
      </w:r>
      <w:r w:rsidR="00BE48D7">
        <w:rPr>
          <w:rFonts w:asciiTheme="minorHAnsi" w:hAnsiTheme="minorHAnsi"/>
        </w:rPr>
        <w:t>s</w:t>
      </w:r>
      <w:r w:rsidR="005D6003">
        <w:rPr>
          <w:rFonts w:asciiTheme="minorHAnsi" w:hAnsiTheme="minorHAnsi"/>
        </w:rPr>
        <w:t>ubject to the</w:t>
      </w:r>
      <w:r w:rsidR="00D70ADB">
        <w:rPr>
          <w:rFonts w:asciiTheme="minorHAnsi" w:hAnsiTheme="minorHAnsi"/>
        </w:rPr>
        <w:t xml:space="preserve"> Department’s sole discretion in view of</w:t>
      </w:r>
      <w:r w:rsidR="005D6003">
        <w:rPr>
          <w:rFonts w:asciiTheme="minorHAnsi" w:hAnsiTheme="minorHAnsi"/>
        </w:rPr>
        <w:t xml:space="preserve"> constraints of time</w:t>
      </w:r>
      <w:r w:rsidR="001B5706">
        <w:rPr>
          <w:rFonts w:asciiTheme="minorHAnsi" w:hAnsiTheme="minorHAnsi"/>
        </w:rPr>
        <w:t xml:space="preserve">, availability of staff, and </w:t>
      </w:r>
      <w:r w:rsidR="007168C3">
        <w:rPr>
          <w:rFonts w:asciiTheme="minorHAnsi" w:hAnsiTheme="minorHAnsi"/>
        </w:rPr>
        <w:t xml:space="preserve">a </w:t>
      </w:r>
      <w:r w:rsidR="001B5706">
        <w:rPr>
          <w:rFonts w:asciiTheme="minorHAnsi" w:hAnsiTheme="minorHAnsi"/>
        </w:rPr>
        <w:t xml:space="preserve">reasonable expectation that </w:t>
      </w:r>
      <w:r w:rsidR="007168C3">
        <w:rPr>
          <w:rFonts w:asciiTheme="minorHAnsi" w:hAnsiTheme="minorHAnsi"/>
        </w:rPr>
        <w:t>including the election will produce a meaningful result</w:t>
      </w:r>
      <w:r w:rsidR="00812684">
        <w:rPr>
          <w:rFonts w:asciiTheme="minorHAnsi" w:hAnsiTheme="minorHAnsi"/>
        </w:rPr>
        <w:t xml:space="preserve">, e.g., </w:t>
      </w:r>
      <w:r w:rsidR="001B5706">
        <w:rPr>
          <w:rFonts w:asciiTheme="minorHAnsi" w:hAnsiTheme="minorHAnsi"/>
        </w:rPr>
        <w:t>the IRS will publish applicable percentages for the effective month of CAA execution that exceed 9% and</w:t>
      </w:r>
      <w:r w:rsidR="00B362F1">
        <w:rPr>
          <w:rFonts w:asciiTheme="minorHAnsi" w:hAnsiTheme="minorHAnsi"/>
        </w:rPr>
        <w:t>/or</w:t>
      </w:r>
      <w:r w:rsidR="001B5706">
        <w:rPr>
          <w:rFonts w:asciiTheme="minorHAnsi" w:hAnsiTheme="minorHAnsi"/>
        </w:rPr>
        <w:t xml:space="preserve"> 4%</w:t>
      </w:r>
      <w:r w:rsidR="002A6E47">
        <w:rPr>
          <w:rFonts w:asciiTheme="minorHAnsi" w:hAnsiTheme="minorHAnsi"/>
        </w:rPr>
        <w:t xml:space="preserve">. </w:t>
      </w:r>
      <w:r w:rsidR="000C4CC5">
        <w:rPr>
          <w:rFonts w:asciiTheme="minorHAnsi" w:hAnsiTheme="minorHAnsi"/>
        </w:rPr>
        <w:t xml:space="preserve">An </w:t>
      </w:r>
      <w:r w:rsidR="00801817">
        <w:rPr>
          <w:rFonts w:asciiTheme="minorHAnsi" w:hAnsiTheme="minorHAnsi"/>
        </w:rPr>
        <w:t xml:space="preserve">election requires </w:t>
      </w:r>
      <w:r w:rsidR="007C334E">
        <w:rPr>
          <w:rFonts w:asciiTheme="minorHAnsi" w:hAnsiTheme="minorHAnsi"/>
        </w:rPr>
        <w:t xml:space="preserve">the Department to execute and </w:t>
      </w:r>
      <w:r w:rsidR="00801817">
        <w:rPr>
          <w:rFonts w:asciiTheme="minorHAnsi" w:hAnsiTheme="minorHAnsi"/>
        </w:rPr>
        <w:t>notariz</w:t>
      </w:r>
      <w:r w:rsidR="007C334E">
        <w:rPr>
          <w:rFonts w:asciiTheme="minorHAnsi" w:hAnsiTheme="minorHAnsi"/>
        </w:rPr>
        <w:t>e</w:t>
      </w:r>
      <w:r w:rsidR="00801817">
        <w:rPr>
          <w:rFonts w:asciiTheme="minorHAnsi" w:hAnsiTheme="minorHAnsi"/>
        </w:rPr>
        <w:t xml:space="preserve"> the CAA in the same month </w:t>
      </w:r>
      <w:r w:rsidR="007C334E">
        <w:rPr>
          <w:rFonts w:asciiTheme="minorHAnsi" w:hAnsiTheme="minorHAnsi"/>
        </w:rPr>
        <w:t xml:space="preserve">as </w:t>
      </w:r>
      <w:r w:rsidR="00801817">
        <w:rPr>
          <w:rFonts w:asciiTheme="minorHAnsi" w:hAnsiTheme="minorHAnsi"/>
        </w:rPr>
        <w:t>the Owner</w:t>
      </w:r>
      <w:r w:rsidR="000C4CC5">
        <w:rPr>
          <w:rFonts w:asciiTheme="minorHAnsi" w:hAnsiTheme="minorHAnsi"/>
        </w:rPr>
        <w:t xml:space="preserve">. </w:t>
      </w:r>
      <w:r w:rsidR="00B362F1">
        <w:rPr>
          <w:rFonts w:asciiTheme="minorHAnsi" w:hAnsiTheme="minorHAnsi"/>
        </w:rPr>
        <w:t xml:space="preserve">CAAs that do not include elections do not require notarization. </w:t>
      </w:r>
      <w:r w:rsidR="000C4CC5">
        <w:rPr>
          <w:rFonts w:asciiTheme="minorHAnsi" w:hAnsiTheme="minorHAnsi"/>
        </w:rPr>
        <w:t>Because the</w:t>
      </w:r>
      <w:r w:rsidR="005D6003">
        <w:rPr>
          <w:rFonts w:asciiTheme="minorHAnsi" w:hAnsiTheme="minorHAnsi"/>
        </w:rPr>
        <w:t xml:space="preserve"> Department </w:t>
      </w:r>
      <w:r w:rsidR="000C4CC5">
        <w:rPr>
          <w:rFonts w:asciiTheme="minorHAnsi" w:hAnsiTheme="minorHAnsi"/>
        </w:rPr>
        <w:t xml:space="preserve">must </w:t>
      </w:r>
      <w:r w:rsidR="005D6003">
        <w:rPr>
          <w:rFonts w:asciiTheme="minorHAnsi" w:hAnsiTheme="minorHAnsi"/>
        </w:rPr>
        <w:t>complete its review of applicable Carryover documentation</w:t>
      </w:r>
      <w:r w:rsidR="000C4CC5">
        <w:rPr>
          <w:rFonts w:asciiTheme="minorHAnsi" w:hAnsiTheme="minorHAnsi"/>
        </w:rPr>
        <w:t xml:space="preserve"> before signing</w:t>
      </w:r>
      <w:r w:rsidR="00A200C9">
        <w:rPr>
          <w:rFonts w:asciiTheme="minorHAnsi" w:hAnsiTheme="minorHAnsi"/>
        </w:rPr>
        <w:t xml:space="preserve"> the CAA</w:t>
      </w:r>
      <w:r w:rsidR="000C4CC5">
        <w:rPr>
          <w:rFonts w:asciiTheme="minorHAnsi" w:hAnsiTheme="minorHAnsi"/>
        </w:rPr>
        <w:t>, the month that an election will be effective is typically December.</w:t>
      </w:r>
      <w:r w:rsidR="007C334E">
        <w:rPr>
          <w:rFonts w:asciiTheme="minorHAnsi" w:hAnsiTheme="minorHAnsi"/>
        </w:rPr>
        <w:t xml:space="preserve"> </w:t>
      </w:r>
      <w:r w:rsidR="00BF68F0" w:rsidRPr="00E10558">
        <w:rPr>
          <w:rFonts w:asciiTheme="minorHAnsi" w:hAnsiTheme="minorHAnsi"/>
        </w:rPr>
        <w:t>Therefore, CAAs issued to Owners in October to meet the requirement to submit by 5 p.m.</w:t>
      </w:r>
      <w:r w:rsidR="003D3A18" w:rsidRPr="00E10558">
        <w:rPr>
          <w:rFonts w:asciiTheme="minorHAnsi" w:hAnsiTheme="minorHAnsi"/>
        </w:rPr>
        <w:t>, CDT,</w:t>
      </w:r>
      <w:r w:rsidR="00BF68F0" w:rsidRPr="00E10558">
        <w:rPr>
          <w:rFonts w:asciiTheme="minorHAnsi" w:hAnsiTheme="minorHAnsi"/>
        </w:rPr>
        <w:t xml:space="preserve"> November </w:t>
      </w:r>
      <w:r w:rsidR="002070D7">
        <w:rPr>
          <w:rFonts w:asciiTheme="minorHAnsi" w:hAnsiTheme="minorHAnsi"/>
        </w:rPr>
        <w:t>3</w:t>
      </w:r>
      <w:r w:rsidR="00BF68F0" w:rsidRPr="00E10558">
        <w:rPr>
          <w:rFonts w:asciiTheme="minorHAnsi" w:hAnsiTheme="minorHAnsi"/>
        </w:rPr>
        <w:t xml:space="preserve">, </w:t>
      </w:r>
      <w:r w:rsidR="00BF68F0" w:rsidRPr="002070D7">
        <w:rPr>
          <w:rFonts w:asciiTheme="minorHAnsi" w:hAnsiTheme="minorHAnsi"/>
        </w:rPr>
        <w:t>202</w:t>
      </w:r>
      <w:r w:rsidR="00D72B1C" w:rsidRPr="002070D7">
        <w:rPr>
          <w:rFonts w:asciiTheme="minorHAnsi" w:hAnsiTheme="minorHAnsi"/>
        </w:rPr>
        <w:t>5</w:t>
      </w:r>
      <w:r w:rsidR="00BF68F0" w:rsidRPr="00E10558">
        <w:rPr>
          <w:rFonts w:asciiTheme="minorHAnsi" w:hAnsiTheme="minorHAnsi"/>
        </w:rPr>
        <w:t xml:space="preserve">, will not contain </w:t>
      </w:r>
      <w:r w:rsidR="00617F73" w:rsidRPr="00E10558">
        <w:rPr>
          <w:rFonts w:asciiTheme="minorHAnsi" w:hAnsiTheme="minorHAnsi"/>
        </w:rPr>
        <w:t xml:space="preserve">representations of </w:t>
      </w:r>
      <w:r w:rsidR="00BF68F0" w:rsidRPr="00E10558">
        <w:rPr>
          <w:rFonts w:asciiTheme="minorHAnsi" w:hAnsiTheme="minorHAnsi"/>
        </w:rPr>
        <w:t>election</w:t>
      </w:r>
      <w:r w:rsidR="00617F73" w:rsidRPr="00E10558">
        <w:rPr>
          <w:rFonts w:asciiTheme="minorHAnsi" w:hAnsiTheme="minorHAnsi"/>
        </w:rPr>
        <w:t>s.</w:t>
      </w:r>
      <w:r w:rsidR="00BF68F0">
        <w:rPr>
          <w:rFonts w:asciiTheme="minorHAnsi" w:hAnsiTheme="minorHAnsi"/>
        </w:rPr>
        <w:t xml:space="preserve"> </w:t>
      </w:r>
      <w:r w:rsidR="00FD0399">
        <w:rPr>
          <w:rFonts w:asciiTheme="minorHAnsi" w:hAnsiTheme="minorHAnsi"/>
        </w:rPr>
        <w:t>[</w:t>
      </w:r>
      <w:r w:rsidR="00FD0399" w:rsidRPr="00C13CCA">
        <w:rPr>
          <w:rFonts w:asciiTheme="minorHAnsi" w:hAnsiTheme="minorHAnsi"/>
        </w:rPr>
        <w:t>26 CFR §1.42-8</w:t>
      </w:r>
      <w:r w:rsidR="00FD0399">
        <w:rPr>
          <w:rFonts w:asciiTheme="minorHAnsi" w:hAnsiTheme="minorHAnsi"/>
        </w:rPr>
        <w:t xml:space="preserve">, </w:t>
      </w:r>
      <w:r w:rsidR="00FD0399" w:rsidRPr="00C13CCA">
        <w:rPr>
          <w:rFonts w:asciiTheme="minorHAnsi" w:hAnsiTheme="minorHAnsi"/>
        </w:rPr>
        <w:t>§42(b)(</w:t>
      </w:r>
      <w:r w:rsidR="00FD0399">
        <w:rPr>
          <w:rFonts w:asciiTheme="minorHAnsi" w:hAnsiTheme="minorHAnsi"/>
        </w:rPr>
        <w:t>1</w:t>
      </w:r>
      <w:r w:rsidR="00FD0399" w:rsidRPr="00C13CCA">
        <w:rPr>
          <w:rFonts w:asciiTheme="minorHAnsi" w:hAnsiTheme="minorHAnsi"/>
        </w:rPr>
        <w:t>)(A)(ii)</w:t>
      </w:r>
      <w:r w:rsidR="00FD0399">
        <w:rPr>
          <w:rFonts w:asciiTheme="minorHAnsi" w:hAnsiTheme="minorHAnsi"/>
        </w:rPr>
        <w:t xml:space="preserve">(I), </w:t>
      </w:r>
      <w:r w:rsidR="007C334E" w:rsidRPr="00C13CCA">
        <w:rPr>
          <w:rFonts w:asciiTheme="minorHAnsi" w:hAnsiTheme="minorHAnsi"/>
        </w:rPr>
        <w:t>§42(b)</w:t>
      </w:r>
      <w:r w:rsidR="007C334E">
        <w:rPr>
          <w:rFonts w:asciiTheme="minorHAnsi" w:hAnsiTheme="minorHAnsi"/>
        </w:rPr>
        <w:t xml:space="preserve">(2)(B), </w:t>
      </w:r>
      <w:r w:rsidR="007C334E" w:rsidRPr="00C13CCA">
        <w:rPr>
          <w:rFonts w:asciiTheme="minorHAnsi" w:hAnsiTheme="minorHAnsi"/>
        </w:rPr>
        <w:t>§42(b)</w:t>
      </w:r>
      <w:r w:rsidR="007C334E">
        <w:rPr>
          <w:rFonts w:asciiTheme="minorHAnsi" w:hAnsiTheme="minorHAnsi"/>
        </w:rPr>
        <w:t xml:space="preserve">(3), </w:t>
      </w:r>
      <w:r w:rsidR="009D2A8C">
        <w:rPr>
          <w:rFonts w:asciiTheme="minorHAnsi" w:hAnsiTheme="minorHAnsi"/>
        </w:rPr>
        <w:t>IRS Notice 2008-106</w:t>
      </w:r>
      <w:r w:rsidR="00F41258">
        <w:rPr>
          <w:rFonts w:asciiTheme="minorHAnsi" w:hAnsiTheme="minorHAnsi"/>
        </w:rPr>
        <w:t>,</w:t>
      </w:r>
      <w:r w:rsidR="007C334E">
        <w:rPr>
          <w:rFonts w:asciiTheme="minorHAnsi" w:hAnsiTheme="minorHAnsi"/>
        </w:rPr>
        <w:t>]</w:t>
      </w:r>
    </w:p>
    <w:p w14:paraId="3EA5C306" w14:textId="3C542859" w:rsidR="00324B40" w:rsidRPr="00C13CCA" w:rsidRDefault="00324B40" w:rsidP="00E10558">
      <w:pPr>
        <w:ind w:left="360"/>
        <w:jc w:val="both"/>
        <w:rPr>
          <w:rFonts w:asciiTheme="minorHAnsi" w:hAnsiTheme="minorHAnsi"/>
        </w:rPr>
      </w:pPr>
    </w:p>
    <w:p w14:paraId="7837925F" w14:textId="1CC682A9" w:rsidR="00E83D04" w:rsidRPr="00C13CCA" w:rsidRDefault="00E83D04" w:rsidP="00E10558">
      <w:pPr>
        <w:numPr>
          <w:ilvl w:val="0"/>
          <w:numId w:val="18"/>
        </w:numPr>
        <w:jc w:val="both"/>
        <w:rPr>
          <w:rFonts w:asciiTheme="minorHAnsi" w:hAnsiTheme="minorHAnsi"/>
        </w:rPr>
      </w:pPr>
      <w:r w:rsidRPr="00C13CCA">
        <w:rPr>
          <w:rFonts w:asciiTheme="minorHAnsi" w:hAnsiTheme="minorHAnsi"/>
        </w:rPr>
        <w:t xml:space="preserve">Nonprofit Organizations </w:t>
      </w:r>
      <w:r w:rsidR="00357EAE">
        <w:rPr>
          <w:rFonts w:asciiTheme="minorHAnsi" w:hAnsiTheme="minorHAnsi"/>
        </w:rPr>
        <w:t xml:space="preserve">must receive at least 10% of the competitive tax credits that are available in any year. </w:t>
      </w:r>
      <w:r w:rsidRPr="00C13CCA">
        <w:rPr>
          <w:rFonts w:asciiTheme="minorHAnsi" w:hAnsiTheme="minorHAnsi"/>
        </w:rPr>
        <w:t>An award made in the Nonprofit Set-Aside requires that the “Nonprofit” box on the third page of the Carryover Allocation Agreement be marked. This election, along with the name of the qualified nonprofit organization designated to meet the Nonprofit Set-Aside requirement</w:t>
      </w:r>
      <w:r w:rsidR="00B362F1">
        <w:rPr>
          <w:rFonts w:asciiTheme="minorHAnsi" w:hAnsiTheme="minorHAnsi"/>
        </w:rPr>
        <w:t>s</w:t>
      </w:r>
      <w:r w:rsidRPr="00C13CCA">
        <w:rPr>
          <w:rFonts w:asciiTheme="minorHAnsi" w:hAnsiTheme="minorHAnsi"/>
        </w:rPr>
        <w:t xml:space="preserve">, will be filled out by Multifamily </w:t>
      </w:r>
      <w:proofErr w:type="gramStart"/>
      <w:r w:rsidRPr="00C13CCA">
        <w:rPr>
          <w:rFonts w:asciiTheme="minorHAnsi" w:hAnsiTheme="minorHAnsi"/>
        </w:rPr>
        <w:t>staff</w:t>
      </w:r>
      <w:proofErr w:type="gramEnd"/>
      <w:r w:rsidRPr="00C13CCA">
        <w:rPr>
          <w:rFonts w:asciiTheme="minorHAnsi" w:hAnsiTheme="minorHAnsi"/>
        </w:rPr>
        <w:t xml:space="preserve"> and should be </w:t>
      </w:r>
      <w:r w:rsidR="008B72B3">
        <w:rPr>
          <w:rFonts w:asciiTheme="minorHAnsi" w:hAnsiTheme="minorHAnsi"/>
        </w:rPr>
        <w:t>reviewed</w:t>
      </w:r>
      <w:r w:rsidRPr="00C13CCA">
        <w:rPr>
          <w:rFonts w:asciiTheme="minorHAnsi" w:hAnsiTheme="minorHAnsi"/>
        </w:rPr>
        <w:t xml:space="preserve"> for accuracy. The development will have a </w:t>
      </w:r>
      <w:r w:rsidR="008B72B3">
        <w:rPr>
          <w:rFonts w:asciiTheme="minorHAnsi" w:hAnsiTheme="minorHAnsi"/>
        </w:rPr>
        <w:t>condi</w:t>
      </w:r>
      <w:r w:rsidRPr="00C13CCA">
        <w:rPr>
          <w:rFonts w:asciiTheme="minorHAnsi" w:hAnsiTheme="minorHAnsi"/>
        </w:rPr>
        <w:t xml:space="preserve">tion in its Land Use Restriction Agreement ("LURA") </w:t>
      </w:r>
      <w:r w:rsidR="00357EAE">
        <w:rPr>
          <w:rFonts w:asciiTheme="minorHAnsi" w:hAnsiTheme="minorHAnsi"/>
        </w:rPr>
        <w:t>re</w:t>
      </w:r>
      <w:r w:rsidR="008B72B3">
        <w:rPr>
          <w:rFonts w:asciiTheme="minorHAnsi" w:hAnsiTheme="minorHAnsi"/>
        </w:rPr>
        <w:t>quiring</w:t>
      </w:r>
      <w:r w:rsidR="00357EAE">
        <w:rPr>
          <w:rFonts w:asciiTheme="minorHAnsi" w:hAnsiTheme="minorHAnsi"/>
        </w:rPr>
        <w:t xml:space="preserve"> </w:t>
      </w:r>
      <w:r w:rsidRPr="00C13CCA">
        <w:rPr>
          <w:rFonts w:asciiTheme="minorHAnsi" w:hAnsiTheme="minorHAnsi"/>
        </w:rPr>
        <w:t>the nonprofit organization’s pa</w:t>
      </w:r>
      <w:r w:rsidR="00357EAE">
        <w:rPr>
          <w:rFonts w:asciiTheme="minorHAnsi" w:hAnsiTheme="minorHAnsi"/>
        </w:rPr>
        <w:t>rticipation in the transaction.</w:t>
      </w:r>
    </w:p>
    <w:p w14:paraId="06F73483" w14:textId="77777777" w:rsidR="00324B40" w:rsidRPr="00C13CCA" w:rsidRDefault="00324B40" w:rsidP="00E10558">
      <w:pPr>
        <w:ind w:left="360"/>
        <w:jc w:val="both"/>
        <w:rPr>
          <w:rFonts w:asciiTheme="minorHAnsi" w:hAnsiTheme="minorHAnsi"/>
        </w:rPr>
      </w:pPr>
    </w:p>
    <w:p w14:paraId="54A62B94" w14:textId="464C50D9" w:rsidR="00E83D04" w:rsidRPr="00C13CCA" w:rsidRDefault="00E83D04" w:rsidP="00E10558">
      <w:pPr>
        <w:numPr>
          <w:ilvl w:val="0"/>
          <w:numId w:val="18"/>
        </w:numPr>
        <w:jc w:val="both"/>
        <w:rPr>
          <w:rFonts w:asciiTheme="minorHAnsi" w:hAnsiTheme="minorHAnsi"/>
        </w:rPr>
      </w:pPr>
      <w:r w:rsidRPr="00C13CCA">
        <w:rPr>
          <w:rFonts w:asciiTheme="minorHAnsi" w:hAnsiTheme="minorHAnsi"/>
        </w:rPr>
        <w:t xml:space="preserve">Each member of the Development Owner that appears on the signature page must be on record as a legally formed organization in the state in which it was organized. In addition, the legal entity that is the Development Owner must be on record with the Texas Secretary of State. The organization names on the signature page should exactly match the names of the applicable state records in both spelling and punctuation (except that the Department may capitalize </w:t>
      </w:r>
      <w:r w:rsidR="0034561C" w:rsidRPr="00C13CCA">
        <w:rPr>
          <w:rFonts w:asciiTheme="minorHAnsi" w:hAnsiTheme="minorHAnsi"/>
        </w:rPr>
        <w:t xml:space="preserve">all letters of the </w:t>
      </w:r>
      <w:r w:rsidRPr="00C13CCA">
        <w:rPr>
          <w:rFonts w:asciiTheme="minorHAnsi" w:hAnsiTheme="minorHAnsi"/>
        </w:rPr>
        <w:t>name</w:t>
      </w:r>
      <w:r w:rsidR="00A200C9">
        <w:rPr>
          <w:rFonts w:asciiTheme="minorHAnsi" w:hAnsiTheme="minorHAnsi"/>
        </w:rPr>
        <w:t xml:space="preserve"> in the CAA</w:t>
      </w:r>
      <w:r w:rsidRPr="00C13CCA">
        <w:rPr>
          <w:rFonts w:asciiTheme="minorHAnsi" w:hAnsiTheme="minorHAnsi"/>
        </w:rPr>
        <w:t xml:space="preserve">). No part of an organization’s name should be truncated or abbreviated. If the ownership entity name </w:t>
      </w:r>
      <w:r w:rsidR="00CC2EE1">
        <w:rPr>
          <w:rFonts w:asciiTheme="minorHAnsi" w:hAnsiTheme="minorHAnsi"/>
        </w:rPr>
        <w:t xml:space="preserve">was filed to </w:t>
      </w:r>
      <w:r w:rsidRPr="00C13CCA">
        <w:rPr>
          <w:rFonts w:asciiTheme="minorHAnsi" w:hAnsiTheme="minorHAnsi"/>
        </w:rPr>
        <w:t>include the words</w:t>
      </w:r>
      <w:r w:rsidR="00CC2EE1">
        <w:rPr>
          <w:rFonts w:asciiTheme="minorHAnsi" w:hAnsiTheme="minorHAnsi"/>
        </w:rPr>
        <w:t>,</w:t>
      </w:r>
      <w:r w:rsidRPr="00C13CCA">
        <w:rPr>
          <w:rFonts w:asciiTheme="minorHAnsi" w:hAnsiTheme="minorHAnsi"/>
        </w:rPr>
        <w:t xml:space="preserve"> “Limited Partnership,” it is not permissible to substitute “Ltd.” or “L.P.” If “L.P.” or “LP” </w:t>
      </w:r>
      <w:r w:rsidR="0034561C" w:rsidRPr="00C13CCA">
        <w:rPr>
          <w:rFonts w:asciiTheme="minorHAnsi" w:hAnsiTheme="minorHAnsi"/>
        </w:rPr>
        <w:t>is</w:t>
      </w:r>
      <w:r w:rsidRPr="00C13CCA">
        <w:rPr>
          <w:rFonts w:asciiTheme="minorHAnsi" w:hAnsiTheme="minorHAnsi"/>
        </w:rPr>
        <w:t xml:space="preserve"> in the name, include or exclude the periods after each letter as applicable. Submit evidence of legal formation of the ownership entity as detailed in the discussion of Tab 3, below.</w:t>
      </w:r>
    </w:p>
    <w:p w14:paraId="05E2AA21" w14:textId="77777777" w:rsidR="00324B40" w:rsidRPr="00C13CCA" w:rsidRDefault="00324B40" w:rsidP="00E10558">
      <w:pPr>
        <w:ind w:left="360"/>
        <w:jc w:val="both"/>
        <w:rPr>
          <w:rFonts w:asciiTheme="minorHAnsi" w:hAnsiTheme="minorHAnsi"/>
        </w:rPr>
      </w:pPr>
    </w:p>
    <w:p w14:paraId="63A573E6" w14:textId="1B0F964B" w:rsidR="00E83D04" w:rsidRDefault="00E83D04" w:rsidP="00E10558">
      <w:pPr>
        <w:numPr>
          <w:ilvl w:val="0"/>
          <w:numId w:val="18"/>
        </w:numPr>
        <w:jc w:val="both"/>
        <w:rPr>
          <w:rFonts w:asciiTheme="minorHAnsi" w:hAnsiTheme="minorHAnsi"/>
        </w:rPr>
      </w:pPr>
      <w:r w:rsidRPr="00C13CCA">
        <w:rPr>
          <w:rFonts w:asciiTheme="minorHAnsi" w:hAnsiTheme="minorHAnsi"/>
        </w:rPr>
        <w:t xml:space="preserve">Any errors in the Carryover Allocation Agreement </w:t>
      </w:r>
      <w:r w:rsidR="00BC3CE1" w:rsidRPr="00C13CCA">
        <w:rPr>
          <w:rFonts w:asciiTheme="minorHAnsi" w:hAnsiTheme="minorHAnsi"/>
        </w:rPr>
        <w:t>may only be</w:t>
      </w:r>
      <w:r w:rsidRPr="00C13CCA">
        <w:rPr>
          <w:rFonts w:asciiTheme="minorHAnsi" w:hAnsiTheme="minorHAnsi"/>
        </w:rPr>
        <w:t xml:space="preserve"> corrected by Department staff.</w:t>
      </w:r>
    </w:p>
    <w:p w14:paraId="217612D1" w14:textId="77777777" w:rsidR="00C65D3B" w:rsidRDefault="00C65D3B" w:rsidP="00C65D3B">
      <w:pPr>
        <w:jc w:val="both"/>
        <w:rPr>
          <w:rFonts w:asciiTheme="minorHAnsi" w:hAnsiTheme="minorHAnsi"/>
        </w:rPr>
      </w:pPr>
    </w:p>
    <w:p w14:paraId="5D5C3C6F" w14:textId="2F48528E" w:rsidR="00E83D04" w:rsidRDefault="00E83D04" w:rsidP="00257EEE">
      <w:pPr>
        <w:ind w:left="-20"/>
        <w:jc w:val="both"/>
        <w:rPr>
          <w:rFonts w:asciiTheme="minorHAnsi" w:hAnsiTheme="minorHAnsi"/>
          <w:b/>
          <w:u w:val="single"/>
        </w:rPr>
      </w:pPr>
      <w:r w:rsidRPr="00257EEE">
        <w:rPr>
          <w:rFonts w:asciiTheme="minorHAnsi" w:hAnsiTheme="minorHAnsi"/>
          <w:b/>
          <w:u w:val="single"/>
        </w:rPr>
        <w:t>Carryover Allocation Package</w:t>
      </w:r>
    </w:p>
    <w:p w14:paraId="268592D7" w14:textId="77777777" w:rsidR="00374D79" w:rsidRDefault="00374D79" w:rsidP="00C65D3B">
      <w:pPr>
        <w:jc w:val="both"/>
        <w:rPr>
          <w:rFonts w:asciiTheme="minorHAnsi" w:hAnsiTheme="minorHAnsi"/>
        </w:rPr>
      </w:pPr>
    </w:p>
    <w:p w14:paraId="36874E29" w14:textId="68E4A472" w:rsidR="001356E5" w:rsidRPr="00C13CCA" w:rsidRDefault="00E83D04" w:rsidP="00C65D3B">
      <w:pPr>
        <w:jc w:val="both"/>
        <w:rPr>
          <w:rFonts w:asciiTheme="minorHAnsi" w:hAnsiTheme="minorHAnsi"/>
        </w:rPr>
      </w:pPr>
      <w:r w:rsidRPr="00C13CCA">
        <w:rPr>
          <w:rFonts w:asciiTheme="minorHAnsi" w:hAnsiTheme="minorHAnsi"/>
        </w:rPr>
        <w:t>A</w:t>
      </w:r>
      <w:r w:rsidR="001356E5" w:rsidRPr="00C13CCA">
        <w:rPr>
          <w:rFonts w:asciiTheme="minorHAnsi" w:hAnsiTheme="minorHAnsi"/>
        </w:rPr>
        <w:t xml:space="preserve"> complete </w:t>
      </w:r>
      <w:r w:rsidR="0015321A" w:rsidRPr="00C13CCA">
        <w:rPr>
          <w:rFonts w:asciiTheme="minorHAnsi" w:hAnsiTheme="minorHAnsi"/>
        </w:rPr>
        <w:t xml:space="preserve">electronic </w:t>
      </w:r>
      <w:r w:rsidR="001356E5" w:rsidRPr="00C13CCA">
        <w:rPr>
          <w:rFonts w:asciiTheme="minorHAnsi" w:hAnsiTheme="minorHAnsi"/>
        </w:rPr>
        <w:t xml:space="preserve">PDF </w:t>
      </w:r>
      <w:r w:rsidR="006561FD" w:rsidRPr="00C13CCA">
        <w:rPr>
          <w:rFonts w:asciiTheme="minorHAnsi" w:hAnsiTheme="minorHAnsi"/>
        </w:rPr>
        <w:t>c</w:t>
      </w:r>
      <w:r w:rsidR="001356E5" w:rsidRPr="00C13CCA">
        <w:rPr>
          <w:rFonts w:asciiTheme="minorHAnsi" w:hAnsiTheme="minorHAnsi"/>
        </w:rPr>
        <w:t xml:space="preserve">arryover file must be submitted in the order presented in the Excel file </w:t>
      </w:r>
      <w:r w:rsidR="0015321A" w:rsidRPr="00C13CCA">
        <w:rPr>
          <w:rFonts w:asciiTheme="minorHAnsi" w:hAnsiTheme="minorHAnsi"/>
        </w:rPr>
        <w:t xml:space="preserve">template </w:t>
      </w:r>
      <w:r w:rsidR="001356E5" w:rsidRPr="00C13CCA">
        <w:rPr>
          <w:rFonts w:asciiTheme="minorHAnsi" w:hAnsiTheme="minorHAnsi"/>
        </w:rPr>
        <w:t xml:space="preserve">and detailed below. </w:t>
      </w:r>
      <w:r w:rsidR="00856D89">
        <w:rPr>
          <w:rFonts w:asciiTheme="minorHAnsi" w:hAnsiTheme="minorHAnsi"/>
        </w:rPr>
        <w:t>T</w:t>
      </w:r>
      <w:r w:rsidR="001356E5" w:rsidRPr="00C13CCA">
        <w:rPr>
          <w:rFonts w:asciiTheme="minorHAnsi" w:hAnsiTheme="minorHAnsi"/>
        </w:rPr>
        <w:t xml:space="preserve">abs in the </w:t>
      </w:r>
      <w:r w:rsidR="00E40498" w:rsidRPr="00C13CCA">
        <w:rPr>
          <w:rFonts w:asciiTheme="minorHAnsi" w:hAnsiTheme="minorHAnsi"/>
        </w:rPr>
        <w:t xml:space="preserve">Excel </w:t>
      </w:r>
      <w:r w:rsidR="001356E5" w:rsidRPr="00C13CCA">
        <w:rPr>
          <w:rFonts w:asciiTheme="minorHAnsi" w:hAnsiTheme="minorHAnsi"/>
        </w:rPr>
        <w:t xml:space="preserve">workbook </w:t>
      </w:r>
      <w:r w:rsidR="00E40498" w:rsidRPr="00C13CCA">
        <w:rPr>
          <w:rFonts w:asciiTheme="minorHAnsi" w:hAnsiTheme="minorHAnsi"/>
        </w:rPr>
        <w:t xml:space="preserve">are forms for the Development Owner to complete </w:t>
      </w:r>
      <w:r w:rsidR="00856D89">
        <w:rPr>
          <w:rFonts w:asciiTheme="minorHAnsi" w:hAnsiTheme="minorHAnsi"/>
        </w:rPr>
        <w:t>and/or</w:t>
      </w:r>
      <w:r w:rsidR="00E40498" w:rsidRPr="00C13CCA">
        <w:rPr>
          <w:rFonts w:asciiTheme="minorHAnsi" w:hAnsiTheme="minorHAnsi"/>
        </w:rPr>
        <w:t xml:space="preserve"> </w:t>
      </w:r>
      <w:r w:rsidR="001356E5" w:rsidRPr="00C13CCA">
        <w:rPr>
          <w:rFonts w:asciiTheme="minorHAnsi" w:hAnsiTheme="minorHAnsi"/>
        </w:rPr>
        <w:t xml:space="preserve">placeholders </w:t>
      </w:r>
      <w:r w:rsidR="00EA08DA" w:rsidRPr="00C13CCA">
        <w:rPr>
          <w:rFonts w:asciiTheme="minorHAnsi" w:hAnsiTheme="minorHAnsi"/>
        </w:rPr>
        <w:t xml:space="preserve">where certain </w:t>
      </w:r>
      <w:r w:rsidR="001356E5" w:rsidRPr="00C13CCA">
        <w:rPr>
          <w:rFonts w:asciiTheme="minorHAnsi" w:hAnsiTheme="minorHAnsi"/>
        </w:rPr>
        <w:t xml:space="preserve">documents must be </w:t>
      </w:r>
      <w:r w:rsidR="00EA08DA" w:rsidRPr="00C13CCA">
        <w:rPr>
          <w:rFonts w:asciiTheme="minorHAnsi" w:hAnsiTheme="minorHAnsi"/>
        </w:rPr>
        <w:t>inserted</w:t>
      </w:r>
      <w:r w:rsidR="0009372E" w:rsidRPr="00C13CCA">
        <w:rPr>
          <w:rFonts w:asciiTheme="minorHAnsi" w:hAnsiTheme="minorHAnsi"/>
        </w:rPr>
        <w:t>.</w:t>
      </w:r>
    </w:p>
    <w:p w14:paraId="7FCE3A94" w14:textId="77777777" w:rsidR="001356E5" w:rsidRPr="00C13CCA" w:rsidRDefault="001356E5" w:rsidP="003F7986">
      <w:pPr>
        <w:jc w:val="both"/>
        <w:rPr>
          <w:rFonts w:asciiTheme="minorHAnsi" w:hAnsiTheme="minorHAnsi"/>
        </w:rPr>
      </w:pPr>
    </w:p>
    <w:p w14:paraId="64941782" w14:textId="77777777" w:rsidR="00D41801" w:rsidRDefault="00D41801">
      <w:pPr>
        <w:rPr>
          <w:rFonts w:asciiTheme="minorHAnsi" w:hAnsiTheme="minorHAnsi"/>
          <w:b/>
          <w:u w:val="single"/>
        </w:rPr>
      </w:pPr>
      <w:r>
        <w:rPr>
          <w:rFonts w:asciiTheme="minorHAnsi" w:hAnsiTheme="minorHAnsi"/>
          <w:b/>
          <w:u w:val="single"/>
        </w:rPr>
        <w:br w:type="page"/>
      </w:r>
    </w:p>
    <w:p w14:paraId="25AA4F1B" w14:textId="0FF92884" w:rsidR="001356E5" w:rsidRPr="00C13CCA" w:rsidRDefault="001356E5" w:rsidP="003F7986">
      <w:pPr>
        <w:numPr>
          <w:ilvl w:val="0"/>
          <w:numId w:val="4"/>
        </w:numPr>
        <w:ind w:left="720" w:hanging="380"/>
        <w:jc w:val="both"/>
        <w:rPr>
          <w:rFonts w:asciiTheme="minorHAnsi" w:hAnsiTheme="minorHAnsi"/>
        </w:rPr>
      </w:pPr>
      <w:r w:rsidRPr="00C13CCA">
        <w:rPr>
          <w:rFonts w:asciiTheme="minorHAnsi" w:hAnsiTheme="minorHAnsi"/>
          <w:b/>
          <w:u w:val="single"/>
        </w:rPr>
        <w:lastRenderedPageBreak/>
        <w:t>Tab 1: Owner and Development Summary</w:t>
      </w:r>
      <w:r w:rsidR="001A2144" w:rsidRPr="00C13CCA">
        <w:rPr>
          <w:rFonts w:asciiTheme="minorHAnsi" w:hAnsiTheme="minorHAnsi"/>
        </w:rPr>
        <w:t>.</w:t>
      </w:r>
    </w:p>
    <w:p w14:paraId="11A984B8" w14:textId="77777777" w:rsidR="00982DCF" w:rsidRPr="00C13CCA" w:rsidRDefault="001356E5" w:rsidP="001356E5">
      <w:pPr>
        <w:numPr>
          <w:ilvl w:val="0"/>
          <w:numId w:val="3"/>
        </w:numPr>
        <w:ind w:left="1440"/>
        <w:jc w:val="both"/>
        <w:rPr>
          <w:rFonts w:asciiTheme="minorHAnsi" w:hAnsiTheme="minorHAnsi"/>
        </w:rPr>
      </w:pPr>
      <w:r w:rsidRPr="00C13CCA">
        <w:rPr>
          <w:rFonts w:asciiTheme="minorHAnsi" w:hAnsiTheme="minorHAnsi"/>
        </w:rPr>
        <w:t>This form must be completed in its entirety.</w:t>
      </w:r>
    </w:p>
    <w:p w14:paraId="2F554C61" w14:textId="0DBF7D54" w:rsidR="00426135" w:rsidRPr="00C13CCA" w:rsidRDefault="00426135" w:rsidP="001356E5">
      <w:pPr>
        <w:numPr>
          <w:ilvl w:val="0"/>
          <w:numId w:val="3"/>
        </w:numPr>
        <w:ind w:left="1440"/>
        <w:jc w:val="both"/>
        <w:rPr>
          <w:rFonts w:asciiTheme="minorHAnsi" w:hAnsiTheme="minorHAnsi"/>
        </w:rPr>
      </w:pPr>
      <w:r w:rsidRPr="00C13CCA">
        <w:rPr>
          <w:rFonts w:asciiTheme="minorHAnsi" w:hAnsiTheme="minorHAnsi"/>
        </w:rPr>
        <w:t xml:space="preserve">The carryover </w:t>
      </w:r>
      <w:r w:rsidR="000F6BF6" w:rsidRPr="00C13CCA">
        <w:rPr>
          <w:rFonts w:asciiTheme="minorHAnsi" w:hAnsiTheme="minorHAnsi"/>
        </w:rPr>
        <w:t xml:space="preserve">package </w:t>
      </w:r>
      <w:r w:rsidRPr="00C13CCA">
        <w:rPr>
          <w:rFonts w:asciiTheme="minorHAnsi" w:hAnsiTheme="minorHAnsi"/>
        </w:rPr>
        <w:t xml:space="preserve">must </w:t>
      </w:r>
      <w:r w:rsidR="00235BC3" w:rsidRPr="00C13CCA">
        <w:rPr>
          <w:rFonts w:asciiTheme="minorHAnsi" w:hAnsiTheme="minorHAnsi"/>
        </w:rPr>
        <w:t xml:space="preserve">communicate the existence of any </w:t>
      </w:r>
      <w:r w:rsidR="00B55E04">
        <w:rPr>
          <w:rFonts w:asciiTheme="minorHAnsi" w:hAnsiTheme="minorHAnsi"/>
        </w:rPr>
        <w:t xml:space="preserve">approved </w:t>
      </w:r>
      <w:r w:rsidRPr="00C13CCA">
        <w:rPr>
          <w:rFonts w:asciiTheme="minorHAnsi" w:hAnsiTheme="minorHAnsi"/>
        </w:rPr>
        <w:t>extension</w:t>
      </w:r>
      <w:r w:rsidR="00B80EE3" w:rsidRPr="00C13CCA">
        <w:rPr>
          <w:rFonts w:asciiTheme="minorHAnsi" w:hAnsiTheme="minorHAnsi"/>
        </w:rPr>
        <w:t xml:space="preserve"> and any request </w:t>
      </w:r>
      <w:r w:rsidR="00B55E04">
        <w:rPr>
          <w:rFonts w:asciiTheme="minorHAnsi" w:hAnsiTheme="minorHAnsi"/>
        </w:rPr>
        <w:t xml:space="preserve">for </w:t>
      </w:r>
      <w:r w:rsidR="00B80EE3" w:rsidRPr="00C13CCA">
        <w:rPr>
          <w:rFonts w:asciiTheme="minorHAnsi" w:hAnsiTheme="minorHAnsi"/>
        </w:rPr>
        <w:t>or approval of an</w:t>
      </w:r>
      <w:r w:rsidR="00235BC3" w:rsidRPr="00C13CCA">
        <w:rPr>
          <w:rFonts w:asciiTheme="minorHAnsi" w:hAnsiTheme="minorHAnsi"/>
        </w:rPr>
        <w:t xml:space="preserve"> amendment or ownership change</w:t>
      </w:r>
      <w:r w:rsidR="000F6BF6" w:rsidRPr="00C13CCA">
        <w:rPr>
          <w:rFonts w:asciiTheme="minorHAnsi" w:hAnsiTheme="minorHAnsi"/>
        </w:rPr>
        <w:t xml:space="preserve"> by including the letter of request or the Department’s letter of approval behind Tab </w:t>
      </w:r>
      <w:r w:rsidR="00227AE5" w:rsidRPr="00C13CCA">
        <w:rPr>
          <w:rFonts w:asciiTheme="minorHAnsi" w:hAnsiTheme="minorHAnsi"/>
        </w:rPr>
        <w:t>7</w:t>
      </w:r>
      <w:r w:rsidR="00235BC3" w:rsidRPr="00C13CCA">
        <w:rPr>
          <w:rFonts w:asciiTheme="minorHAnsi" w:hAnsiTheme="minorHAnsi"/>
        </w:rPr>
        <w:t>.</w:t>
      </w:r>
      <w:r w:rsidR="000F6BF6" w:rsidRPr="00C13CCA">
        <w:rPr>
          <w:rFonts w:asciiTheme="minorHAnsi" w:hAnsiTheme="minorHAnsi"/>
        </w:rPr>
        <w:t xml:space="preserve"> </w:t>
      </w:r>
      <w:r w:rsidR="002863A1" w:rsidRPr="00C13CCA">
        <w:rPr>
          <w:rFonts w:asciiTheme="minorHAnsi" w:hAnsiTheme="minorHAnsi"/>
        </w:rPr>
        <w:t xml:space="preserve">The documentation associated with these letters of request </w:t>
      </w:r>
      <w:r w:rsidR="0064159C" w:rsidRPr="00C13CCA">
        <w:rPr>
          <w:rFonts w:asciiTheme="minorHAnsi" w:hAnsiTheme="minorHAnsi"/>
        </w:rPr>
        <w:t xml:space="preserve">or approval </w:t>
      </w:r>
      <w:r w:rsidR="002863A1" w:rsidRPr="00C13CCA">
        <w:rPr>
          <w:rFonts w:asciiTheme="minorHAnsi" w:hAnsiTheme="minorHAnsi"/>
        </w:rPr>
        <w:t xml:space="preserve">should </w:t>
      </w:r>
      <w:r w:rsidR="001F72E8" w:rsidRPr="00C13CCA">
        <w:rPr>
          <w:rFonts w:asciiTheme="minorHAnsi" w:hAnsiTheme="minorHAnsi"/>
        </w:rPr>
        <w:t xml:space="preserve">not </w:t>
      </w:r>
      <w:r w:rsidR="002863A1" w:rsidRPr="00C13CCA">
        <w:rPr>
          <w:rFonts w:asciiTheme="minorHAnsi" w:hAnsiTheme="minorHAnsi"/>
        </w:rPr>
        <w:t>be placed in the carryover package</w:t>
      </w:r>
      <w:r w:rsidR="005272F8" w:rsidRPr="00C13CCA">
        <w:rPr>
          <w:rFonts w:asciiTheme="minorHAnsi" w:hAnsiTheme="minorHAnsi"/>
        </w:rPr>
        <w:t>, only the letters</w:t>
      </w:r>
      <w:r w:rsidR="00C55B2C" w:rsidRPr="00C13CCA">
        <w:rPr>
          <w:rFonts w:asciiTheme="minorHAnsi" w:hAnsiTheme="minorHAnsi"/>
        </w:rPr>
        <w:t>,</w:t>
      </w:r>
      <w:r w:rsidR="0043180F" w:rsidRPr="00C13CCA">
        <w:rPr>
          <w:rFonts w:asciiTheme="minorHAnsi" w:hAnsiTheme="minorHAnsi"/>
        </w:rPr>
        <w:t xml:space="preserve"> themselves</w:t>
      </w:r>
      <w:r w:rsidR="002863A1" w:rsidRPr="00C13CCA">
        <w:rPr>
          <w:rFonts w:asciiTheme="minorHAnsi" w:hAnsiTheme="minorHAnsi"/>
        </w:rPr>
        <w:t xml:space="preserve">. </w:t>
      </w:r>
      <w:r w:rsidR="004E1183" w:rsidRPr="00C13CCA">
        <w:rPr>
          <w:rFonts w:asciiTheme="minorHAnsi" w:hAnsiTheme="minorHAnsi"/>
        </w:rPr>
        <w:t xml:space="preserve">The requests </w:t>
      </w:r>
      <w:r w:rsidR="005272F8" w:rsidRPr="00C13CCA">
        <w:rPr>
          <w:rFonts w:asciiTheme="minorHAnsi" w:hAnsiTheme="minorHAnsi"/>
        </w:rPr>
        <w:t xml:space="preserve">with supporting documentation </w:t>
      </w:r>
      <w:r w:rsidR="004E1183" w:rsidRPr="00C13CCA">
        <w:rPr>
          <w:rFonts w:asciiTheme="minorHAnsi" w:hAnsiTheme="minorHAnsi"/>
        </w:rPr>
        <w:t>should be submitted</w:t>
      </w:r>
      <w:r w:rsidR="0064159C" w:rsidRPr="00C13CCA">
        <w:rPr>
          <w:rFonts w:asciiTheme="minorHAnsi" w:hAnsiTheme="minorHAnsi"/>
        </w:rPr>
        <w:t xml:space="preserve"> as separate packages </w:t>
      </w:r>
      <w:r w:rsidR="004E1183" w:rsidRPr="00C13CCA">
        <w:rPr>
          <w:rFonts w:asciiTheme="minorHAnsi" w:hAnsiTheme="minorHAnsi"/>
          <w:u w:val="single"/>
        </w:rPr>
        <w:t>before</w:t>
      </w:r>
      <w:r w:rsidR="004E1183" w:rsidRPr="00C13CCA">
        <w:rPr>
          <w:rFonts w:asciiTheme="minorHAnsi" w:hAnsiTheme="minorHAnsi"/>
        </w:rPr>
        <w:t xml:space="preserve"> submission of</w:t>
      </w:r>
      <w:r w:rsidR="009853C2" w:rsidRPr="00C13CCA">
        <w:rPr>
          <w:rFonts w:asciiTheme="minorHAnsi" w:hAnsiTheme="minorHAnsi"/>
        </w:rPr>
        <w:t xml:space="preserve"> the carryover package:</w:t>
      </w:r>
    </w:p>
    <w:p w14:paraId="765FEE4A" w14:textId="77777777" w:rsidR="00324B40" w:rsidRPr="00C13CCA" w:rsidRDefault="00324B40" w:rsidP="00324B40">
      <w:pPr>
        <w:ind w:left="1440"/>
        <w:jc w:val="both"/>
        <w:rPr>
          <w:rFonts w:asciiTheme="minorHAnsi" w:hAnsiTheme="minorHAnsi"/>
        </w:rPr>
      </w:pPr>
    </w:p>
    <w:p w14:paraId="594590E8" w14:textId="7B275D18" w:rsidR="00E7416C" w:rsidRPr="00C13CCA" w:rsidRDefault="00E7416C" w:rsidP="00235BC3">
      <w:pPr>
        <w:numPr>
          <w:ilvl w:val="1"/>
          <w:numId w:val="3"/>
        </w:numPr>
        <w:ind w:left="2160"/>
        <w:jc w:val="both"/>
        <w:rPr>
          <w:rFonts w:asciiTheme="minorHAnsi" w:hAnsiTheme="minorHAnsi"/>
        </w:rPr>
      </w:pPr>
      <w:r w:rsidRPr="00C13CCA">
        <w:rPr>
          <w:rFonts w:asciiTheme="minorHAnsi" w:hAnsiTheme="minorHAnsi"/>
        </w:rPr>
        <w:t xml:space="preserve">Development Owner must ensure that all fees associated with </w:t>
      </w:r>
      <w:r w:rsidR="001F72E8" w:rsidRPr="00C13CCA">
        <w:rPr>
          <w:rFonts w:asciiTheme="minorHAnsi" w:hAnsiTheme="minorHAnsi"/>
        </w:rPr>
        <w:t xml:space="preserve">all </w:t>
      </w:r>
      <w:r w:rsidRPr="00C13CCA">
        <w:rPr>
          <w:rFonts w:asciiTheme="minorHAnsi" w:hAnsiTheme="minorHAnsi"/>
        </w:rPr>
        <w:t xml:space="preserve">developments in which </w:t>
      </w:r>
      <w:r w:rsidR="001F72E8" w:rsidRPr="00C13CCA">
        <w:rPr>
          <w:rFonts w:asciiTheme="minorHAnsi" w:hAnsiTheme="minorHAnsi"/>
        </w:rPr>
        <w:t xml:space="preserve">any </w:t>
      </w:r>
      <w:r w:rsidRPr="00C13CCA">
        <w:rPr>
          <w:rFonts w:asciiTheme="minorHAnsi" w:hAnsiTheme="minorHAnsi"/>
        </w:rPr>
        <w:t xml:space="preserve">Affiliate of the Development Owner </w:t>
      </w:r>
      <w:r w:rsidR="0043180F" w:rsidRPr="00C13CCA">
        <w:rPr>
          <w:rFonts w:asciiTheme="minorHAnsi" w:hAnsiTheme="minorHAnsi"/>
        </w:rPr>
        <w:t xml:space="preserve">was a principal </w:t>
      </w:r>
      <w:r w:rsidRPr="00C13CCA">
        <w:rPr>
          <w:rFonts w:asciiTheme="minorHAnsi" w:hAnsiTheme="minorHAnsi"/>
        </w:rPr>
        <w:t>have been paid.</w:t>
      </w:r>
    </w:p>
    <w:p w14:paraId="5CD4F038" w14:textId="77777777" w:rsidR="00324B40" w:rsidRPr="00C13CCA" w:rsidRDefault="00324B40" w:rsidP="00324B40">
      <w:pPr>
        <w:ind w:left="2160"/>
        <w:jc w:val="both"/>
        <w:rPr>
          <w:rFonts w:asciiTheme="minorHAnsi" w:hAnsiTheme="minorHAnsi"/>
        </w:rPr>
      </w:pPr>
    </w:p>
    <w:p w14:paraId="7010694F" w14:textId="283BABA0" w:rsidR="00235BC3" w:rsidRPr="00C13CCA" w:rsidRDefault="00DF61C0" w:rsidP="00235BC3">
      <w:pPr>
        <w:numPr>
          <w:ilvl w:val="1"/>
          <w:numId w:val="3"/>
        </w:numPr>
        <w:ind w:left="2160"/>
        <w:jc w:val="both"/>
        <w:rPr>
          <w:rFonts w:asciiTheme="minorHAnsi" w:hAnsiTheme="minorHAnsi"/>
        </w:rPr>
      </w:pPr>
      <w:r w:rsidRPr="00C13CCA">
        <w:rPr>
          <w:rFonts w:asciiTheme="minorHAnsi" w:hAnsiTheme="minorHAnsi"/>
        </w:rPr>
        <w:t xml:space="preserve">Carryover packages submitted after the </w:t>
      </w:r>
      <w:r w:rsidR="00F85BE0" w:rsidRPr="00C13CCA">
        <w:rPr>
          <w:rFonts w:asciiTheme="minorHAnsi" w:hAnsiTheme="minorHAnsi"/>
        </w:rPr>
        <w:t xml:space="preserve">submission </w:t>
      </w:r>
      <w:r w:rsidRPr="00C13CCA">
        <w:rPr>
          <w:rFonts w:asciiTheme="minorHAnsi" w:hAnsiTheme="minorHAnsi"/>
        </w:rPr>
        <w:t>deadline</w:t>
      </w:r>
      <w:r w:rsidR="00B80EE3" w:rsidRPr="00C13CCA">
        <w:rPr>
          <w:rFonts w:asciiTheme="minorHAnsi" w:hAnsiTheme="minorHAnsi"/>
        </w:rPr>
        <w:t xml:space="preserve"> without an approved extension </w:t>
      </w:r>
      <w:r w:rsidRPr="00C13CCA">
        <w:rPr>
          <w:rFonts w:asciiTheme="minorHAnsi" w:hAnsiTheme="minorHAnsi"/>
        </w:rPr>
        <w:t>will be terminated</w:t>
      </w:r>
      <w:r w:rsidR="00131790" w:rsidRPr="00C13CCA">
        <w:rPr>
          <w:rFonts w:asciiTheme="minorHAnsi" w:hAnsiTheme="minorHAnsi"/>
        </w:rPr>
        <w:t xml:space="preserve"> pursuant to </w:t>
      </w:r>
      <w:r w:rsidR="004A0A84" w:rsidRPr="00C13CCA">
        <w:rPr>
          <w:rFonts w:asciiTheme="minorHAnsi" w:hAnsiTheme="minorHAnsi"/>
        </w:rPr>
        <w:t xml:space="preserve">10 TAC </w:t>
      </w:r>
      <w:r w:rsidR="00131790" w:rsidRPr="00C13CCA">
        <w:rPr>
          <w:rFonts w:asciiTheme="minorHAnsi" w:hAnsiTheme="minorHAnsi" w:cs="Calibri"/>
        </w:rPr>
        <w:t>§</w:t>
      </w:r>
      <w:r w:rsidR="007800FF">
        <w:rPr>
          <w:rFonts w:asciiTheme="minorHAnsi" w:hAnsiTheme="minorHAnsi"/>
        </w:rPr>
        <w:t>11.907</w:t>
      </w:r>
      <w:r w:rsidR="00131790" w:rsidRPr="00C13CCA">
        <w:rPr>
          <w:rFonts w:asciiTheme="minorHAnsi" w:hAnsiTheme="minorHAnsi"/>
        </w:rPr>
        <w:t>(1)</w:t>
      </w:r>
      <w:r w:rsidR="00B80EE3" w:rsidRPr="00C13CCA">
        <w:rPr>
          <w:rFonts w:asciiTheme="minorHAnsi" w:hAnsiTheme="minorHAnsi"/>
        </w:rPr>
        <w:t xml:space="preserve">. A carryover package that has a significant omission </w:t>
      </w:r>
      <w:r w:rsidR="009C5CCB" w:rsidRPr="00C13CCA">
        <w:rPr>
          <w:rFonts w:asciiTheme="minorHAnsi" w:hAnsiTheme="minorHAnsi"/>
        </w:rPr>
        <w:t>may be terminated unless it includes</w:t>
      </w:r>
      <w:r w:rsidR="00B80EE3" w:rsidRPr="00C13CCA">
        <w:rPr>
          <w:rFonts w:asciiTheme="minorHAnsi" w:hAnsiTheme="minorHAnsi"/>
        </w:rPr>
        <w:t xml:space="preserve"> an approved extension.</w:t>
      </w:r>
    </w:p>
    <w:p w14:paraId="40A4FB27" w14:textId="77777777" w:rsidR="00324B40" w:rsidRPr="00C13CCA" w:rsidRDefault="00324B40" w:rsidP="00324B40">
      <w:pPr>
        <w:ind w:left="2160"/>
        <w:jc w:val="both"/>
        <w:rPr>
          <w:rFonts w:asciiTheme="minorHAnsi" w:hAnsiTheme="minorHAnsi"/>
        </w:rPr>
      </w:pPr>
    </w:p>
    <w:p w14:paraId="1443DFF6" w14:textId="290E8041" w:rsidR="004A0A84" w:rsidRPr="00C13CCA" w:rsidRDefault="00ED3894" w:rsidP="002F5B61">
      <w:pPr>
        <w:numPr>
          <w:ilvl w:val="1"/>
          <w:numId w:val="3"/>
        </w:numPr>
        <w:ind w:left="2160"/>
        <w:jc w:val="both"/>
        <w:rPr>
          <w:rFonts w:asciiTheme="minorHAnsi" w:hAnsiTheme="minorHAnsi"/>
        </w:rPr>
      </w:pPr>
      <w:r w:rsidRPr="00C13CCA">
        <w:rPr>
          <w:rFonts w:asciiTheme="minorHAnsi" w:hAnsiTheme="minorHAnsi"/>
        </w:rPr>
        <w:t>Documentation evidencing the submission</w:t>
      </w:r>
      <w:r w:rsidR="007800FF">
        <w:rPr>
          <w:rFonts w:asciiTheme="minorHAnsi" w:hAnsiTheme="minorHAnsi"/>
        </w:rPr>
        <w:t xml:space="preserve"> or approval</w:t>
      </w:r>
      <w:r w:rsidRPr="00C13CCA">
        <w:rPr>
          <w:rFonts w:asciiTheme="minorHAnsi" w:hAnsiTheme="minorHAnsi"/>
        </w:rPr>
        <w:t xml:space="preserve"> of requests for Amendments or Ownership C</w:t>
      </w:r>
      <w:r w:rsidR="004A0A84" w:rsidRPr="00C13CCA">
        <w:rPr>
          <w:rFonts w:asciiTheme="minorHAnsi" w:hAnsiTheme="minorHAnsi"/>
        </w:rPr>
        <w:t xml:space="preserve">hanges </w:t>
      </w:r>
      <w:r w:rsidRPr="00C13CCA">
        <w:rPr>
          <w:rFonts w:asciiTheme="minorHAnsi" w:hAnsiTheme="minorHAnsi"/>
        </w:rPr>
        <w:t xml:space="preserve">prior to submission of the carryover package </w:t>
      </w:r>
      <w:r w:rsidR="005B2898" w:rsidRPr="00C13CCA">
        <w:rPr>
          <w:rFonts w:asciiTheme="minorHAnsi" w:hAnsiTheme="minorHAnsi"/>
        </w:rPr>
        <w:t>is</w:t>
      </w:r>
      <w:r w:rsidR="004A0A84" w:rsidRPr="00C13CCA">
        <w:rPr>
          <w:rFonts w:asciiTheme="minorHAnsi" w:hAnsiTheme="minorHAnsi"/>
        </w:rPr>
        <w:t xml:space="preserve"> to be included </w:t>
      </w:r>
      <w:r w:rsidR="00F85BE0" w:rsidRPr="00C13CCA">
        <w:rPr>
          <w:rFonts w:asciiTheme="minorHAnsi" w:hAnsiTheme="minorHAnsi"/>
        </w:rPr>
        <w:t>in</w:t>
      </w:r>
      <w:r w:rsidR="004A0A84" w:rsidRPr="00C13CCA">
        <w:rPr>
          <w:rFonts w:asciiTheme="minorHAnsi" w:hAnsiTheme="minorHAnsi"/>
        </w:rPr>
        <w:t xml:space="preserve"> Tab 7. </w:t>
      </w:r>
      <w:r w:rsidRPr="00C13CCA">
        <w:rPr>
          <w:rFonts w:asciiTheme="minorHAnsi" w:hAnsiTheme="minorHAnsi"/>
        </w:rPr>
        <w:t>Do not submit the requests themselves in the carryover package.</w:t>
      </w:r>
      <w:r w:rsidR="004A0A84" w:rsidRPr="00C13CCA">
        <w:rPr>
          <w:rFonts w:asciiTheme="minorHAnsi" w:hAnsiTheme="minorHAnsi"/>
        </w:rPr>
        <w:t xml:space="preserve"> Owners are cautioned to consult the Post Award Activities Manual at </w:t>
      </w:r>
      <w:hyperlink r:id="rId11" w:history="1">
        <w:r w:rsidR="009F57E5" w:rsidRPr="009F57E5">
          <w:rPr>
            <w:rStyle w:val="Hyperlink"/>
            <w:rFonts w:asciiTheme="minorHAnsi" w:hAnsiTheme="minorHAnsi"/>
          </w:rPr>
          <w:t>https://www.tdhca.texas.gov/post-awa</w:t>
        </w:r>
        <w:r w:rsidR="009F57E5" w:rsidRPr="009F57E5">
          <w:rPr>
            <w:rStyle w:val="Hyperlink"/>
            <w:rFonts w:asciiTheme="minorHAnsi" w:hAnsiTheme="minorHAnsi"/>
          </w:rPr>
          <w:t>r</w:t>
        </w:r>
        <w:r w:rsidR="009F57E5" w:rsidRPr="009F57E5">
          <w:rPr>
            <w:rStyle w:val="Hyperlink"/>
            <w:rFonts w:asciiTheme="minorHAnsi" w:hAnsiTheme="minorHAnsi"/>
          </w:rPr>
          <w:t>d-activities-manual</w:t>
        </w:r>
      </w:hyperlink>
      <w:r w:rsidR="004A0A84" w:rsidRPr="00C13CCA">
        <w:rPr>
          <w:rFonts w:asciiTheme="minorHAnsi" w:hAnsiTheme="minorHAnsi"/>
        </w:rPr>
        <w:t xml:space="preserve"> regarding the process for submission.</w:t>
      </w:r>
      <w:r w:rsidRPr="00C13CCA">
        <w:rPr>
          <w:rFonts w:asciiTheme="minorHAnsi" w:hAnsiTheme="minorHAnsi"/>
        </w:rPr>
        <w:t xml:space="preserve"> </w:t>
      </w:r>
      <w:r w:rsidR="00AC7FD6" w:rsidRPr="00C13CCA">
        <w:rPr>
          <w:rFonts w:asciiTheme="minorHAnsi" w:hAnsiTheme="minorHAnsi"/>
        </w:rPr>
        <w:t xml:space="preserve">Documentation of </w:t>
      </w:r>
      <w:r w:rsidRPr="00C13CCA">
        <w:rPr>
          <w:rFonts w:asciiTheme="minorHAnsi" w:hAnsiTheme="minorHAnsi"/>
        </w:rPr>
        <w:t xml:space="preserve">changes in the </w:t>
      </w:r>
      <w:r w:rsidR="00AC7FD6" w:rsidRPr="00C13CCA">
        <w:rPr>
          <w:rFonts w:asciiTheme="minorHAnsi" w:hAnsiTheme="minorHAnsi"/>
        </w:rPr>
        <w:t>A</w:t>
      </w:r>
      <w:r w:rsidRPr="00C13CCA">
        <w:rPr>
          <w:rFonts w:asciiTheme="minorHAnsi" w:hAnsiTheme="minorHAnsi"/>
        </w:rPr>
        <w:t xml:space="preserve">pplication </w:t>
      </w:r>
      <w:r w:rsidR="00AC7FD6" w:rsidRPr="00C13CCA">
        <w:rPr>
          <w:rFonts w:asciiTheme="minorHAnsi" w:hAnsiTheme="minorHAnsi"/>
        </w:rPr>
        <w:t xml:space="preserve">that do not constitute Amendments or Ownership Changes </w:t>
      </w:r>
      <w:r w:rsidR="005B2898" w:rsidRPr="00C13CCA">
        <w:rPr>
          <w:rFonts w:asciiTheme="minorHAnsi" w:hAnsiTheme="minorHAnsi"/>
        </w:rPr>
        <w:t>is</w:t>
      </w:r>
      <w:r w:rsidR="00AC7FD6" w:rsidRPr="00C13CCA">
        <w:rPr>
          <w:rFonts w:asciiTheme="minorHAnsi" w:hAnsiTheme="minorHAnsi"/>
        </w:rPr>
        <w:t xml:space="preserve"> to be included in Tab 7 </w:t>
      </w:r>
      <w:r w:rsidRPr="00C13CCA">
        <w:rPr>
          <w:rFonts w:asciiTheme="minorHAnsi" w:hAnsiTheme="minorHAnsi"/>
        </w:rPr>
        <w:t xml:space="preserve">as detailed </w:t>
      </w:r>
      <w:r w:rsidR="00AC7FD6" w:rsidRPr="00C13CCA">
        <w:rPr>
          <w:rFonts w:asciiTheme="minorHAnsi" w:hAnsiTheme="minorHAnsi"/>
        </w:rPr>
        <w:t>in the discussion of Tab 7 below.</w:t>
      </w:r>
    </w:p>
    <w:p w14:paraId="0AF39D36" w14:textId="77777777" w:rsidR="00324B40" w:rsidRPr="00C13CCA" w:rsidRDefault="00324B40" w:rsidP="00324B40">
      <w:pPr>
        <w:ind w:left="2160"/>
        <w:jc w:val="both"/>
        <w:rPr>
          <w:rFonts w:asciiTheme="minorHAnsi" w:hAnsiTheme="minorHAnsi"/>
        </w:rPr>
      </w:pPr>
    </w:p>
    <w:p w14:paraId="3EE2E6FA" w14:textId="37F77FFE" w:rsidR="002959A3" w:rsidRPr="00C13CCA" w:rsidRDefault="001F72E8" w:rsidP="002959A3">
      <w:pPr>
        <w:numPr>
          <w:ilvl w:val="0"/>
          <w:numId w:val="3"/>
        </w:numPr>
        <w:ind w:left="1440"/>
        <w:jc w:val="both"/>
        <w:rPr>
          <w:rFonts w:asciiTheme="minorHAnsi" w:hAnsiTheme="minorHAnsi"/>
        </w:rPr>
      </w:pPr>
      <w:r w:rsidRPr="00C13CCA">
        <w:rPr>
          <w:rFonts w:asciiTheme="minorHAnsi" w:hAnsiTheme="minorHAnsi"/>
        </w:rPr>
        <w:t xml:space="preserve">The </w:t>
      </w:r>
      <w:r w:rsidR="002959A3" w:rsidRPr="00C13CCA">
        <w:rPr>
          <w:rFonts w:asciiTheme="minorHAnsi" w:hAnsiTheme="minorHAnsi"/>
        </w:rPr>
        <w:t>Limited Partnership</w:t>
      </w:r>
      <w:r w:rsidR="00E655C9" w:rsidRPr="00C13CCA">
        <w:rPr>
          <w:rFonts w:asciiTheme="minorHAnsi" w:hAnsiTheme="minorHAnsi"/>
        </w:rPr>
        <w:t xml:space="preserve"> Agreement </w:t>
      </w:r>
      <w:r w:rsidR="000B369E" w:rsidRPr="00C13CCA">
        <w:rPr>
          <w:rFonts w:asciiTheme="minorHAnsi" w:hAnsiTheme="minorHAnsi"/>
        </w:rPr>
        <w:t xml:space="preserve">(LPA) </w:t>
      </w:r>
      <w:r w:rsidR="00F441DE" w:rsidRPr="00C13CCA">
        <w:rPr>
          <w:rFonts w:asciiTheme="minorHAnsi" w:hAnsiTheme="minorHAnsi"/>
        </w:rPr>
        <w:t>(</w:t>
      </w:r>
      <w:r w:rsidR="00E655C9" w:rsidRPr="00C13CCA">
        <w:rPr>
          <w:rFonts w:asciiTheme="minorHAnsi" w:hAnsiTheme="minorHAnsi"/>
        </w:rPr>
        <w:t>signature page</w:t>
      </w:r>
      <w:r w:rsidR="007800FF">
        <w:rPr>
          <w:rFonts w:asciiTheme="minorHAnsi" w:hAnsiTheme="minorHAnsi"/>
        </w:rPr>
        <w:t xml:space="preserve"> or page</w:t>
      </w:r>
      <w:r w:rsidR="00E655C9" w:rsidRPr="00C13CCA">
        <w:rPr>
          <w:rFonts w:asciiTheme="minorHAnsi" w:hAnsiTheme="minorHAnsi"/>
        </w:rPr>
        <w:t>s</w:t>
      </w:r>
      <w:r w:rsidR="007800FF">
        <w:rPr>
          <w:rFonts w:asciiTheme="minorHAnsi" w:hAnsiTheme="minorHAnsi"/>
        </w:rPr>
        <w:t>,</w:t>
      </w:r>
      <w:r w:rsidR="00E655C9" w:rsidRPr="00C13CCA">
        <w:rPr>
          <w:rFonts w:asciiTheme="minorHAnsi" w:hAnsiTheme="minorHAnsi"/>
        </w:rPr>
        <w:t xml:space="preserve"> only</w:t>
      </w:r>
      <w:r w:rsidR="00F441DE" w:rsidRPr="00C13CCA">
        <w:rPr>
          <w:rFonts w:asciiTheme="minorHAnsi" w:hAnsiTheme="minorHAnsi"/>
        </w:rPr>
        <w:t>)</w:t>
      </w:r>
      <w:r w:rsidR="002959A3" w:rsidRPr="00C13CCA">
        <w:rPr>
          <w:rFonts w:asciiTheme="minorHAnsi" w:hAnsiTheme="minorHAnsi"/>
        </w:rPr>
        <w:t xml:space="preserve"> should be included </w:t>
      </w:r>
      <w:r w:rsidR="00E655C9" w:rsidRPr="00C13CCA">
        <w:rPr>
          <w:rFonts w:asciiTheme="minorHAnsi" w:hAnsiTheme="minorHAnsi"/>
        </w:rPr>
        <w:t>behind this tab</w:t>
      </w:r>
      <w:r w:rsidR="007C35CF" w:rsidRPr="00C13CCA">
        <w:rPr>
          <w:rFonts w:asciiTheme="minorHAnsi" w:hAnsiTheme="minorHAnsi"/>
        </w:rPr>
        <w:t xml:space="preserve"> (Tab 1)</w:t>
      </w:r>
      <w:r w:rsidR="002959A3" w:rsidRPr="00C13CCA">
        <w:rPr>
          <w:rFonts w:asciiTheme="minorHAnsi" w:hAnsiTheme="minorHAnsi"/>
        </w:rPr>
        <w:t>.</w:t>
      </w:r>
      <w:r w:rsidR="00E655C9" w:rsidRPr="00C13CCA">
        <w:rPr>
          <w:rFonts w:asciiTheme="minorHAnsi" w:hAnsiTheme="minorHAnsi"/>
        </w:rPr>
        <w:t xml:space="preserve"> Do not submit any pages of the limited partnership agreement except the signature page</w:t>
      </w:r>
      <w:r w:rsidR="00391152" w:rsidRPr="00C13CCA">
        <w:rPr>
          <w:rFonts w:asciiTheme="minorHAnsi" w:hAnsiTheme="minorHAnsi"/>
        </w:rPr>
        <w:t>(</w:t>
      </w:r>
      <w:r w:rsidR="00E655C9" w:rsidRPr="00C13CCA">
        <w:rPr>
          <w:rFonts w:asciiTheme="minorHAnsi" w:hAnsiTheme="minorHAnsi"/>
        </w:rPr>
        <w:t>s</w:t>
      </w:r>
      <w:r w:rsidR="00391152" w:rsidRPr="00C13CCA">
        <w:rPr>
          <w:rFonts w:asciiTheme="minorHAnsi" w:hAnsiTheme="minorHAnsi"/>
        </w:rPr>
        <w:t>)</w:t>
      </w:r>
      <w:r w:rsidR="00E655C9" w:rsidRPr="00C13CCA">
        <w:rPr>
          <w:rFonts w:asciiTheme="minorHAnsi" w:hAnsiTheme="minorHAnsi"/>
        </w:rPr>
        <w:t xml:space="preserve"> </w:t>
      </w:r>
      <w:r w:rsidR="00391152" w:rsidRPr="00C13CCA">
        <w:rPr>
          <w:rFonts w:asciiTheme="minorHAnsi" w:hAnsiTheme="minorHAnsi"/>
        </w:rPr>
        <w:t xml:space="preserve">of the original document </w:t>
      </w:r>
      <w:r w:rsidR="00E655C9" w:rsidRPr="00C13CCA">
        <w:rPr>
          <w:rFonts w:asciiTheme="minorHAnsi" w:hAnsiTheme="minorHAnsi"/>
        </w:rPr>
        <w:t xml:space="preserve">showing execution by </w:t>
      </w:r>
      <w:r w:rsidRPr="00C13CCA">
        <w:rPr>
          <w:rFonts w:asciiTheme="minorHAnsi" w:hAnsiTheme="minorHAnsi"/>
        </w:rPr>
        <w:t>all relevant parties</w:t>
      </w:r>
      <w:r w:rsidR="00E655C9" w:rsidRPr="00C13CCA">
        <w:rPr>
          <w:rFonts w:asciiTheme="minorHAnsi" w:hAnsiTheme="minorHAnsi"/>
        </w:rPr>
        <w:t>.</w:t>
      </w:r>
      <w:r w:rsidR="000B369E" w:rsidRPr="00C13CCA">
        <w:rPr>
          <w:rFonts w:asciiTheme="minorHAnsi" w:hAnsiTheme="minorHAnsi"/>
        </w:rPr>
        <w:t xml:space="preserve"> </w:t>
      </w:r>
      <w:r w:rsidR="000B369E" w:rsidRPr="00C13CCA">
        <w:rPr>
          <w:rFonts w:asciiTheme="minorHAnsi" w:hAnsiTheme="minorHAnsi"/>
          <w:b/>
        </w:rPr>
        <w:t xml:space="preserve">If the LPA has not been signed by the </w:t>
      </w:r>
      <w:r w:rsidR="000B369E" w:rsidRPr="00C13CCA">
        <w:rPr>
          <w:rFonts w:asciiTheme="minorHAnsi" w:hAnsiTheme="minorHAnsi"/>
          <w:b/>
          <w:u w:val="single"/>
        </w:rPr>
        <w:t>final</w:t>
      </w:r>
      <w:r w:rsidR="000B369E" w:rsidRPr="00C13CCA">
        <w:rPr>
          <w:rFonts w:asciiTheme="minorHAnsi" w:hAnsiTheme="minorHAnsi"/>
          <w:b/>
        </w:rPr>
        <w:t xml:space="preserve"> limited partner investor, do not submit this item.</w:t>
      </w:r>
    </w:p>
    <w:p w14:paraId="21C3CDCD" w14:textId="77777777" w:rsidR="001356E5" w:rsidRPr="00C13CCA" w:rsidRDefault="001356E5" w:rsidP="001356E5">
      <w:pPr>
        <w:ind w:left="1440"/>
        <w:jc w:val="both"/>
        <w:rPr>
          <w:rFonts w:asciiTheme="minorHAnsi" w:hAnsiTheme="minorHAnsi"/>
        </w:rPr>
      </w:pPr>
    </w:p>
    <w:p w14:paraId="6FBB0829" w14:textId="77777777" w:rsidR="007046B8" w:rsidRPr="00E70E19" w:rsidRDefault="007046B8" w:rsidP="00E70E19">
      <w:pPr>
        <w:jc w:val="both"/>
        <w:rPr>
          <w:rFonts w:asciiTheme="minorHAnsi" w:hAnsiTheme="minorHAnsi"/>
          <w:b/>
          <w:u w:val="single"/>
        </w:rPr>
      </w:pPr>
    </w:p>
    <w:p w14:paraId="7535132A" w14:textId="77777777" w:rsidR="007046B8" w:rsidRPr="00C13CCA" w:rsidRDefault="007046B8" w:rsidP="007046B8">
      <w:pPr>
        <w:numPr>
          <w:ilvl w:val="0"/>
          <w:numId w:val="4"/>
        </w:numPr>
        <w:ind w:left="720" w:hanging="380"/>
        <w:jc w:val="both"/>
        <w:rPr>
          <w:rFonts w:asciiTheme="minorHAnsi" w:hAnsiTheme="minorHAnsi"/>
          <w:b/>
          <w:u w:val="single"/>
        </w:rPr>
      </w:pPr>
      <w:r w:rsidRPr="00C13CCA">
        <w:rPr>
          <w:rFonts w:asciiTheme="minorHAnsi" w:hAnsiTheme="minorHAnsi"/>
          <w:b/>
          <w:u w:val="single"/>
        </w:rPr>
        <w:t xml:space="preserve">Tab </w:t>
      </w:r>
      <w:r w:rsidR="002F23A5" w:rsidRPr="00C13CCA">
        <w:rPr>
          <w:rFonts w:asciiTheme="minorHAnsi" w:hAnsiTheme="minorHAnsi"/>
          <w:b/>
          <w:u w:val="single"/>
        </w:rPr>
        <w:t>2</w:t>
      </w:r>
      <w:r w:rsidRPr="00C13CCA">
        <w:rPr>
          <w:rFonts w:asciiTheme="minorHAnsi" w:hAnsiTheme="minorHAnsi"/>
          <w:b/>
          <w:u w:val="single"/>
        </w:rPr>
        <w:t>: Table of BINs for Developments with Previous Allocations</w:t>
      </w:r>
      <w:r w:rsidR="001A2144" w:rsidRPr="00C13CCA">
        <w:rPr>
          <w:rFonts w:asciiTheme="minorHAnsi" w:hAnsiTheme="minorHAnsi"/>
        </w:rPr>
        <w:t>.</w:t>
      </w:r>
    </w:p>
    <w:p w14:paraId="102D1F48" w14:textId="134E8F8D" w:rsidR="007046B8" w:rsidRPr="00C13CCA" w:rsidRDefault="00611448" w:rsidP="007046B8">
      <w:pPr>
        <w:numPr>
          <w:ilvl w:val="0"/>
          <w:numId w:val="3"/>
        </w:numPr>
        <w:ind w:left="1440"/>
        <w:jc w:val="both"/>
        <w:rPr>
          <w:rFonts w:asciiTheme="minorHAnsi" w:hAnsiTheme="minorHAnsi"/>
        </w:rPr>
      </w:pPr>
      <w:r w:rsidRPr="00C13CCA">
        <w:rPr>
          <w:rFonts w:asciiTheme="minorHAnsi" w:hAnsiTheme="minorHAnsi"/>
        </w:rPr>
        <w:t>This tab is not applicable for developments without previous allocations</w:t>
      </w:r>
      <w:r w:rsidR="008A36D9" w:rsidRPr="00C13CCA">
        <w:rPr>
          <w:rFonts w:asciiTheme="minorHAnsi" w:hAnsiTheme="minorHAnsi"/>
        </w:rPr>
        <w:t xml:space="preserve"> but is </w:t>
      </w:r>
      <w:r w:rsidR="009C5CCB" w:rsidRPr="00C13CCA">
        <w:rPr>
          <w:rFonts w:asciiTheme="minorHAnsi" w:hAnsiTheme="minorHAnsi"/>
        </w:rPr>
        <w:t xml:space="preserve">required </w:t>
      </w:r>
      <w:r w:rsidR="008A36D9" w:rsidRPr="00C13CCA">
        <w:rPr>
          <w:rFonts w:asciiTheme="minorHAnsi" w:hAnsiTheme="minorHAnsi"/>
        </w:rPr>
        <w:t>for all developments with previous allocations</w:t>
      </w:r>
      <w:r w:rsidR="009C5CCB" w:rsidRPr="00C13CCA">
        <w:rPr>
          <w:rFonts w:asciiTheme="minorHAnsi" w:hAnsiTheme="minorHAnsi"/>
        </w:rPr>
        <w:t xml:space="preserve">, regardless of when those allocations were made or whether the Development is beyond its affordability period. </w:t>
      </w:r>
      <w:r w:rsidR="007046B8" w:rsidRPr="00C13CCA">
        <w:rPr>
          <w:rFonts w:asciiTheme="minorHAnsi" w:hAnsiTheme="minorHAnsi"/>
        </w:rPr>
        <w:t xml:space="preserve">If the current development contains </w:t>
      </w:r>
      <w:r w:rsidR="00D95AAD" w:rsidRPr="00C13CCA">
        <w:rPr>
          <w:rFonts w:asciiTheme="minorHAnsi" w:hAnsiTheme="minorHAnsi"/>
        </w:rPr>
        <w:t xml:space="preserve">one or more </w:t>
      </w:r>
      <w:r w:rsidR="007046B8" w:rsidRPr="00C13CCA">
        <w:rPr>
          <w:rFonts w:asciiTheme="minorHAnsi" w:hAnsiTheme="minorHAnsi"/>
        </w:rPr>
        <w:t xml:space="preserve">buildings for which </w:t>
      </w:r>
      <w:r w:rsidR="00D24750">
        <w:rPr>
          <w:rFonts w:asciiTheme="minorHAnsi" w:hAnsiTheme="minorHAnsi"/>
        </w:rPr>
        <w:t xml:space="preserve">a carryover allocation or </w:t>
      </w:r>
      <w:smartTag w:uri="urn:schemas-microsoft-com:office:smarttags" w:element="stockticker">
        <w:r w:rsidR="007046B8" w:rsidRPr="00C13CCA">
          <w:rPr>
            <w:rFonts w:asciiTheme="minorHAnsi" w:hAnsiTheme="minorHAnsi"/>
          </w:rPr>
          <w:t>IRS</w:t>
        </w:r>
      </w:smartTag>
      <w:r w:rsidR="007046B8" w:rsidRPr="00C13CCA">
        <w:rPr>
          <w:rFonts w:asciiTheme="minorHAnsi" w:hAnsiTheme="minorHAnsi"/>
        </w:rPr>
        <w:t xml:space="preserve"> Forms 8609 were issued (or will be issued) in relation to a past award of tax credits, provide the following:</w:t>
      </w:r>
    </w:p>
    <w:p w14:paraId="2E15CBB9" w14:textId="77777777" w:rsidR="00324B40" w:rsidRPr="00C13CCA" w:rsidRDefault="00324B40" w:rsidP="00324B40">
      <w:pPr>
        <w:ind w:left="1440"/>
        <w:jc w:val="both"/>
        <w:rPr>
          <w:rFonts w:asciiTheme="minorHAnsi" w:hAnsiTheme="minorHAnsi"/>
        </w:rPr>
      </w:pPr>
    </w:p>
    <w:p w14:paraId="15354563" w14:textId="7153B197" w:rsidR="007046B8" w:rsidRPr="00C13CCA" w:rsidRDefault="0070243F" w:rsidP="007046B8">
      <w:pPr>
        <w:numPr>
          <w:ilvl w:val="2"/>
          <w:numId w:val="14"/>
        </w:numPr>
        <w:ind w:left="2160"/>
        <w:jc w:val="both"/>
        <w:rPr>
          <w:rFonts w:asciiTheme="minorHAnsi" w:hAnsiTheme="minorHAnsi"/>
        </w:rPr>
      </w:pPr>
      <w:r w:rsidRPr="00C13CCA">
        <w:rPr>
          <w:rFonts w:asciiTheme="minorHAnsi" w:hAnsiTheme="minorHAnsi"/>
        </w:rPr>
        <w:t xml:space="preserve">Provide a list of all </w:t>
      </w:r>
      <w:r w:rsidR="006B6464" w:rsidRPr="00C13CCA">
        <w:rPr>
          <w:rFonts w:asciiTheme="minorHAnsi" w:hAnsiTheme="minorHAnsi"/>
        </w:rPr>
        <w:t>building identification numbers ("</w:t>
      </w:r>
      <w:r w:rsidRPr="00C13CCA">
        <w:rPr>
          <w:rFonts w:asciiTheme="minorHAnsi" w:hAnsiTheme="minorHAnsi"/>
        </w:rPr>
        <w:t>BIN</w:t>
      </w:r>
      <w:r w:rsidR="007800FF">
        <w:rPr>
          <w:rFonts w:asciiTheme="minorHAnsi" w:hAnsiTheme="minorHAnsi"/>
        </w:rPr>
        <w:t>s</w:t>
      </w:r>
      <w:r w:rsidR="006B6464" w:rsidRPr="00C13CCA">
        <w:rPr>
          <w:rFonts w:asciiTheme="minorHAnsi" w:hAnsiTheme="minorHAnsi"/>
        </w:rPr>
        <w:t>")</w:t>
      </w:r>
      <w:r w:rsidRPr="00C13CCA">
        <w:rPr>
          <w:rFonts w:asciiTheme="minorHAnsi" w:hAnsiTheme="minorHAnsi"/>
        </w:rPr>
        <w:t xml:space="preserve"> assigned </w:t>
      </w:r>
      <w:r w:rsidR="00C4219D">
        <w:rPr>
          <w:rFonts w:asciiTheme="minorHAnsi" w:hAnsiTheme="minorHAnsi"/>
        </w:rPr>
        <w:t xml:space="preserve">in the past </w:t>
      </w:r>
      <w:r w:rsidRPr="00C13CCA">
        <w:rPr>
          <w:rFonts w:asciiTheme="minorHAnsi" w:hAnsiTheme="minorHAnsi"/>
        </w:rPr>
        <w:t>to the buildings of the current allocation and a</w:t>
      </w:r>
      <w:r w:rsidR="007046B8" w:rsidRPr="00C13CCA">
        <w:rPr>
          <w:rFonts w:asciiTheme="minorHAnsi" w:hAnsiTheme="minorHAnsi"/>
        </w:rPr>
        <w:t xml:space="preserve">ttach the </w:t>
      </w:r>
      <w:r w:rsidR="000955DC" w:rsidRPr="00C13CCA">
        <w:rPr>
          <w:rFonts w:asciiTheme="minorHAnsi" w:hAnsiTheme="minorHAnsi"/>
        </w:rPr>
        <w:t xml:space="preserve">8609 of each building </w:t>
      </w:r>
      <w:r w:rsidR="007046B8" w:rsidRPr="00C13CCA">
        <w:rPr>
          <w:rFonts w:asciiTheme="minorHAnsi" w:hAnsiTheme="minorHAnsi"/>
        </w:rPr>
        <w:t>of the previous allocation.</w:t>
      </w:r>
      <w:r w:rsidR="007046B8" w:rsidRPr="00C13CCA" w:rsidDel="00A72E21">
        <w:rPr>
          <w:rFonts w:asciiTheme="minorHAnsi" w:hAnsiTheme="minorHAnsi"/>
        </w:rPr>
        <w:t xml:space="preserve"> </w:t>
      </w:r>
      <w:r w:rsidR="000955DC" w:rsidRPr="00C13CCA">
        <w:rPr>
          <w:rFonts w:asciiTheme="minorHAnsi" w:hAnsiTheme="minorHAnsi"/>
        </w:rPr>
        <w:t xml:space="preserve">If </w:t>
      </w:r>
      <w:r w:rsidR="00C4219D">
        <w:rPr>
          <w:rFonts w:asciiTheme="minorHAnsi" w:hAnsiTheme="minorHAnsi"/>
        </w:rPr>
        <w:t xml:space="preserve">one or more </w:t>
      </w:r>
      <w:r w:rsidR="000955DC" w:rsidRPr="00C13CCA">
        <w:rPr>
          <w:rFonts w:asciiTheme="minorHAnsi" w:hAnsiTheme="minorHAnsi"/>
        </w:rPr>
        <w:t>building</w:t>
      </w:r>
      <w:r w:rsidR="00C4219D">
        <w:rPr>
          <w:rFonts w:asciiTheme="minorHAnsi" w:hAnsiTheme="minorHAnsi"/>
        </w:rPr>
        <w:t>s</w:t>
      </w:r>
      <w:r w:rsidR="000955DC" w:rsidRPr="00C13CCA">
        <w:rPr>
          <w:rFonts w:asciiTheme="minorHAnsi" w:hAnsiTheme="minorHAnsi"/>
        </w:rPr>
        <w:t xml:space="preserve"> w</w:t>
      </w:r>
      <w:r w:rsidR="00C4219D">
        <w:rPr>
          <w:rFonts w:asciiTheme="minorHAnsi" w:hAnsiTheme="minorHAnsi"/>
        </w:rPr>
        <w:t>ere</w:t>
      </w:r>
      <w:r w:rsidR="000955DC" w:rsidRPr="00C13CCA">
        <w:rPr>
          <w:rFonts w:asciiTheme="minorHAnsi" w:hAnsiTheme="minorHAnsi"/>
        </w:rPr>
        <w:t xml:space="preserve"> assigned BIN</w:t>
      </w:r>
      <w:r w:rsidR="00C4219D">
        <w:rPr>
          <w:rFonts w:asciiTheme="minorHAnsi" w:hAnsiTheme="minorHAnsi"/>
        </w:rPr>
        <w:t>s</w:t>
      </w:r>
      <w:r w:rsidR="000955DC" w:rsidRPr="00C13CCA">
        <w:rPr>
          <w:rFonts w:asciiTheme="minorHAnsi" w:hAnsiTheme="minorHAnsi"/>
        </w:rPr>
        <w:t xml:space="preserve"> in a previous carryover allocation but ha</w:t>
      </w:r>
      <w:r w:rsidR="00C4219D">
        <w:rPr>
          <w:rFonts w:asciiTheme="minorHAnsi" w:hAnsiTheme="minorHAnsi"/>
        </w:rPr>
        <w:t>ve</w:t>
      </w:r>
      <w:r w:rsidR="000955DC" w:rsidRPr="00C13CCA">
        <w:rPr>
          <w:rFonts w:asciiTheme="minorHAnsi" w:hAnsiTheme="minorHAnsi"/>
        </w:rPr>
        <w:t xml:space="preserve"> </w:t>
      </w:r>
      <w:r w:rsidR="008636EE" w:rsidRPr="00C13CCA">
        <w:rPr>
          <w:rFonts w:asciiTheme="minorHAnsi" w:hAnsiTheme="minorHAnsi"/>
        </w:rPr>
        <w:t xml:space="preserve">never, or </w:t>
      </w:r>
      <w:r w:rsidR="000955DC" w:rsidRPr="00C13CCA">
        <w:rPr>
          <w:rFonts w:asciiTheme="minorHAnsi" w:hAnsiTheme="minorHAnsi"/>
        </w:rPr>
        <w:t>not yet</w:t>
      </w:r>
      <w:r w:rsidR="008636EE" w:rsidRPr="00C13CCA">
        <w:rPr>
          <w:rFonts w:asciiTheme="minorHAnsi" w:hAnsiTheme="minorHAnsi"/>
        </w:rPr>
        <w:t>,</w:t>
      </w:r>
      <w:r w:rsidR="000955DC" w:rsidRPr="00C13CCA">
        <w:rPr>
          <w:rFonts w:asciiTheme="minorHAnsi" w:hAnsiTheme="minorHAnsi"/>
        </w:rPr>
        <w:t xml:space="preserve"> receive</w:t>
      </w:r>
      <w:r w:rsidR="008636EE" w:rsidRPr="00C13CCA">
        <w:rPr>
          <w:rFonts w:asciiTheme="minorHAnsi" w:hAnsiTheme="minorHAnsi"/>
        </w:rPr>
        <w:t>d</w:t>
      </w:r>
      <w:r w:rsidR="000955DC" w:rsidRPr="00C13CCA">
        <w:rPr>
          <w:rFonts w:asciiTheme="minorHAnsi" w:hAnsiTheme="minorHAnsi"/>
        </w:rPr>
        <w:t xml:space="preserve"> 8609</w:t>
      </w:r>
      <w:r w:rsidR="00C4219D">
        <w:rPr>
          <w:rFonts w:asciiTheme="minorHAnsi" w:hAnsiTheme="minorHAnsi"/>
        </w:rPr>
        <w:t>s</w:t>
      </w:r>
      <w:r w:rsidR="000955DC" w:rsidRPr="00C13CCA">
        <w:rPr>
          <w:rFonts w:asciiTheme="minorHAnsi" w:hAnsiTheme="minorHAnsi"/>
        </w:rPr>
        <w:t xml:space="preserve">, provide the page </w:t>
      </w:r>
      <w:r w:rsidR="000955DC" w:rsidRPr="00C13CCA">
        <w:rPr>
          <w:rFonts w:asciiTheme="minorHAnsi" w:hAnsiTheme="minorHAnsi"/>
        </w:rPr>
        <w:lastRenderedPageBreak/>
        <w:t>of the carryover allocation that assigned the BIN</w:t>
      </w:r>
      <w:r w:rsidR="00C4219D">
        <w:rPr>
          <w:rFonts w:asciiTheme="minorHAnsi" w:hAnsiTheme="minorHAnsi"/>
        </w:rPr>
        <w:t>s</w:t>
      </w:r>
      <w:r w:rsidR="000955DC" w:rsidRPr="00C13CCA">
        <w:rPr>
          <w:rFonts w:asciiTheme="minorHAnsi" w:hAnsiTheme="minorHAnsi"/>
        </w:rPr>
        <w:t xml:space="preserve"> and explain the buildings</w:t>
      </w:r>
      <w:r w:rsidR="00C4219D">
        <w:rPr>
          <w:rFonts w:asciiTheme="minorHAnsi" w:hAnsiTheme="minorHAnsi"/>
        </w:rPr>
        <w:t>’</w:t>
      </w:r>
      <w:r w:rsidR="000955DC" w:rsidRPr="00C13CCA">
        <w:rPr>
          <w:rFonts w:asciiTheme="minorHAnsi" w:hAnsiTheme="minorHAnsi"/>
        </w:rPr>
        <w:t xml:space="preserve"> </w:t>
      </w:r>
      <w:proofErr w:type="gramStart"/>
      <w:r w:rsidR="000955DC" w:rsidRPr="00C13CCA">
        <w:rPr>
          <w:rFonts w:asciiTheme="minorHAnsi" w:hAnsiTheme="minorHAnsi"/>
        </w:rPr>
        <w:t>current status</w:t>
      </w:r>
      <w:proofErr w:type="gramEnd"/>
      <w:r w:rsidR="000955DC" w:rsidRPr="00C13CCA">
        <w:rPr>
          <w:rFonts w:asciiTheme="minorHAnsi" w:hAnsiTheme="minorHAnsi"/>
        </w:rPr>
        <w:t xml:space="preserve">. </w:t>
      </w:r>
    </w:p>
    <w:p w14:paraId="37B39DE3" w14:textId="77777777" w:rsidR="00324B40" w:rsidRPr="00C13CCA" w:rsidRDefault="00324B40" w:rsidP="00324B40">
      <w:pPr>
        <w:ind w:left="2160"/>
        <w:jc w:val="both"/>
        <w:rPr>
          <w:rFonts w:asciiTheme="minorHAnsi" w:hAnsiTheme="minorHAnsi"/>
        </w:rPr>
      </w:pPr>
    </w:p>
    <w:p w14:paraId="00BCECC7" w14:textId="752FA939" w:rsidR="007046B8" w:rsidRPr="00C13CCA" w:rsidRDefault="007046B8" w:rsidP="007046B8">
      <w:pPr>
        <w:numPr>
          <w:ilvl w:val="2"/>
          <w:numId w:val="14"/>
        </w:numPr>
        <w:ind w:left="2160"/>
        <w:jc w:val="both"/>
        <w:rPr>
          <w:rFonts w:asciiTheme="minorHAnsi" w:hAnsiTheme="minorHAnsi"/>
        </w:rPr>
      </w:pPr>
      <w:r w:rsidRPr="00C13CCA">
        <w:rPr>
          <w:rFonts w:asciiTheme="minorHAnsi" w:hAnsiTheme="minorHAnsi"/>
        </w:rPr>
        <w:t xml:space="preserve">If the development of the previous allocation contained any buildings that were assigned BINs in the </w:t>
      </w:r>
      <w:r w:rsidR="00645634" w:rsidRPr="00C13CCA">
        <w:rPr>
          <w:rFonts w:asciiTheme="minorHAnsi" w:hAnsiTheme="minorHAnsi"/>
        </w:rPr>
        <w:t xml:space="preserve">previous </w:t>
      </w:r>
      <w:r w:rsidRPr="00C13CCA">
        <w:rPr>
          <w:rFonts w:asciiTheme="minorHAnsi" w:hAnsiTheme="minorHAnsi"/>
        </w:rPr>
        <w:t>Carryover Allocation Agreement, LURA or 8609s, identify any BIN</w:t>
      </w:r>
      <w:r w:rsidR="00645634" w:rsidRPr="00C13CCA">
        <w:rPr>
          <w:rFonts w:asciiTheme="minorHAnsi" w:hAnsiTheme="minorHAnsi"/>
        </w:rPr>
        <w:t>s</w:t>
      </w:r>
      <w:r w:rsidRPr="00C13CCA">
        <w:rPr>
          <w:rFonts w:asciiTheme="minorHAnsi" w:hAnsiTheme="minorHAnsi"/>
        </w:rPr>
        <w:t xml:space="preserve"> that will not be used in association with the current carryover allocation. This instruction is applicable</w:t>
      </w:r>
      <w:r w:rsidR="00BF39C3" w:rsidRPr="00C13CCA">
        <w:rPr>
          <w:rFonts w:asciiTheme="minorHAnsi" w:hAnsiTheme="minorHAnsi"/>
        </w:rPr>
        <w:t>, for example,</w:t>
      </w:r>
      <w:r w:rsidRPr="00C13CCA">
        <w:rPr>
          <w:rFonts w:asciiTheme="minorHAnsi" w:hAnsiTheme="minorHAnsi"/>
        </w:rPr>
        <w:t xml:space="preserve"> in cases where buildings that were assigned BINs have been destroyed or will not be rehabilitated using tax credits from the current allocation. Explain why the BINs will not be used. Attach a page </w:t>
      </w:r>
      <w:r w:rsidR="00BF39C3" w:rsidRPr="00C13CCA">
        <w:rPr>
          <w:rFonts w:asciiTheme="minorHAnsi" w:hAnsiTheme="minorHAnsi"/>
        </w:rPr>
        <w:t>with</w:t>
      </w:r>
      <w:r w:rsidRPr="00C13CCA">
        <w:rPr>
          <w:rFonts w:asciiTheme="minorHAnsi" w:hAnsiTheme="minorHAnsi"/>
        </w:rPr>
        <w:t xml:space="preserve"> </w:t>
      </w:r>
      <w:r w:rsidR="006931AE" w:rsidRPr="00C13CCA">
        <w:rPr>
          <w:rFonts w:asciiTheme="minorHAnsi" w:hAnsiTheme="minorHAnsi"/>
        </w:rPr>
        <w:t>a</w:t>
      </w:r>
      <w:r w:rsidRPr="00C13CCA">
        <w:rPr>
          <w:rFonts w:asciiTheme="minorHAnsi" w:hAnsiTheme="minorHAnsi"/>
        </w:rPr>
        <w:t xml:space="preserve"> heading</w:t>
      </w:r>
      <w:r w:rsidR="006931AE" w:rsidRPr="00C13CCA">
        <w:rPr>
          <w:rFonts w:asciiTheme="minorHAnsi" w:hAnsiTheme="minorHAnsi"/>
        </w:rPr>
        <w:t xml:space="preserve"> such as</w:t>
      </w:r>
      <w:r w:rsidRPr="00C13CCA">
        <w:rPr>
          <w:rFonts w:asciiTheme="minorHAnsi" w:hAnsiTheme="minorHAnsi"/>
        </w:rPr>
        <w:t>, “Explanation of Previous BINs Not Used</w:t>
      </w:r>
      <w:r w:rsidR="00BF39C3" w:rsidRPr="00C13CCA">
        <w:rPr>
          <w:rFonts w:asciiTheme="minorHAnsi" w:hAnsiTheme="minorHAnsi"/>
        </w:rPr>
        <w:t>,</w:t>
      </w:r>
      <w:r w:rsidRPr="00C13CCA">
        <w:rPr>
          <w:rFonts w:asciiTheme="minorHAnsi" w:hAnsiTheme="minorHAnsi"/>
        </w:rPr>
        <w:t xml:space="preserve">” that includes </w:t>
      </w:r>
      <w:r w:rsidR="00C4219D">
        <w:rPr>
          <w:rFonts w:asciiTheme="minorHAnsi" w:hAnsiTheme="minorHAnsi"/>
        </w:rPr>
        <w:t>the</w:t>
      </w:r>
      <w:r w:rsidR="00970E2A" w:rsidRPr="00C13CCA">
        <w:rPr>
          <w:rFonts w:asciiTheme="minorHAnsi" w:hAnsiTheme="minorHAnsi"/>
        </w:rPr>
        <w:t xml:space="preserve"> explanation</w:t>
      </w:r>
      <w:r w:rsidRPr="00C13CCA">
        <w:rPr>
          <w:rFonts w:asciiTheme="minorHAnsi" w:hAnsiTheme="minorHAnsi"/>
        </w:rPr>
        <w:t xml:space="preserve">. BINs that were assigned in a Carryover Allocation Agreement </w:t>
      </w:r>
      <w:proofErr w:type="gramStart"/>
      <w:r w:rsidRPr="00C13CCA">
        <w:rPr>
          <w:rFonts w:asciiTheme="minorHAnsi" w:hAnsiTheme="minorHAnsi"/>
        </w:rPr>
        <w:t>in excess of</w:t>
      </w:r>
      <w:proofErr w:type="gramEnd"/>
      <w:r w:rsidRPr="00C13CCA">
        <w:rPr>
          <w:rFonts w:asciiTheme="minorHAnsi" w:hAnsiTheme="minorHAnsi"/>
        </w:rPr>
        <w:t xml:space="preserve"> the BINs actually needed for the previous development proposal do not need to be explained. Only BINs that were </w:t>
      </w:r>
      <w:proofErr w:type="gramStart"/>
      <w:r w:rsidRPr="00C13CCA">
        <w:rPr>
          <w:rFonts w:asciiTheme="minorHAnsi" w:hAnsiTheme="minorHAnsi"/>
        </w:rPr>
        <w:t xml:space="preserve">actually </w:t>
      </w:r>
      <w:r w:rsidR="00645634" w:rsidRPr="00C13CCA">
        <w:rPr>
          <w:rFonts w:asciiTheme="minorHAnsi" w:hAnsiTheme="minorHAnsi"/>
        </w:rPr>
        <w:t>assigned</w:t>
      </w:r>
      <w:proofErr w:type="gramEnd"/>
      <w:r w:rsidR="00645634" w:rsidRPr="00C13CCA">
        <w:rPr>
          <w:rFonts w:asciiTheme="minorHAnsi" w:hAnsiTheme="minorHAnsi"/>
        </w:rPr>
        <w:t xml:space="preserve"> to buildings n</w:t>
      </w:r>
      <w:r w:rsidRPr="00C13CCA">
        <w:rPr>
          <w:rFonts w:asciiTheme="minorHAnsi" w:hAnsiTheme="minorHAnsi"/>
        </w:rPr>
        <w:t xml:space="preserve">eed to be discussed. For example, if a range containing 99 BINs was stated in the Carryover Allocation Agreement, but the development only needed three BINs, then only the </w:t>
      </w:r>
      <w:r w:rsidR="00D215D9" w:rsidRPr="00C13CCA">
        <w:rPr>
          <w:rFonts w:asciiTheme="minorHAnsi" w:hAnsiTheme="minorHAnsi"/>
        </w:rPr>
        <w:t xml:space="preserve">BINs among these three applicable BINs that are not </w:t>
      </w:r>
      <w:r w:rsidR="00A96CEC" w:rsidRPr="00C13CCA">
        <w:rPr>
          <w:rFonts w:asciiTheme="minorHAnsi" w:hAnsiTheme="minorHAnsi"/>
        </w:rPr>
        <w:t>to be used in the current carryover allocation agreement</w:t>
      </w:r>
      <w:r w:rsidRPr="00C13CCA">
        <w:rPr>
          <w:rFonts w:asciiTheme="minorHAnsi" w:hAnsiTheme="minorHAnsi"/>
        </w:rPr>
        <w:t xml:space="preserve"> must be discussed.</w:t>
      </w:r>
    </w:p>
    <w:p w14:paraId="6AD44391" w14:textId="77777777" w:rsidR="001356E5" w:rsidRPr="002F6D9B" w:rsidRDefault="001356E5" w:rsidP="002F6D9B">
      <w:pPr>
        <w:jc w:val="both"/>
        <w:rPr>
          <w:rFonts w:asciiTheme="minorHAnsi" w:hAnsiTheme="minorHAnsi"/>
          <w:b/>
          <w:u w:val="single"/>
        </w:rPr>
      </w:pPr>
    </w:p>
    <w:p w14:paraId="6C30F122" w14:textId="71D6A1AC" w:rsidR="001356E5" w:rsidRPr="00C13CCA" w:rsidRDefault="001356E5" w:rsidP="003F7986">
      <w:pPr>
        <w:numPr>
          <w:ilvl w:val="0"/>
          <w:numId w:val="4"/>
        </w:numPr>
        <w:ind w:left="720" w:hanging="380"/>
        <w:jc w:val="both"/>
        <w:rPr>
          <w:rFonts w:asciiTheme="minorHAnsi" w:hAnsiTheme="minorHAnsi"/>
          <w:b/>
          <w:u w:val="single"/>
        </w:rPr>
      </w:pPr>
      <w:r w:rsidRPr="00C13CCA">
        <w:rPr>
          <w:rFonts w:asciiTheme="minorHAnsi" w:hAnsiTheme="minorHAnsi"/>
          <w:b/>
          <w:u w:val="single"/>
        </w:rPr>
        <w:t xml:space="preserve">Tab </w:t>
      </w:r>
      <w:r w:rsidR="006931AE" w:rsidRPr="00C13CCA">
        <w:rPr>
          <w:rFonts w:asciiTheme="minorHAnsi" w:hAnsiTheme="minorHAnsi"/>
          <w:b/>
          <w:u w:val="single"/>
        </w:rPr>
        <w:t>3</w:t>
      </w:r>
      <w:r w:rsidRPr="00C13CCA">
        <w:rPr>
          <w:rFonts w:asciiTheme="minorHAnsi" w:hAnsiTheme="minorHAnsi"/>
          <w:b/>
          <w:u w:val="single"/>
        </w:rPr>
        <w:t xml:space="preserve">: Employer Identification Number (EIN) </w:t>
      </w:r>
      <w:r w:rsidR="00FE5C32" w:rsidRPr="00C13CCA">
        <w:rPr>
          <w:rFonts w:asciiTheme="minorHAnsi" w:hAnsiTheme="minorHAnsi"/>
          <w:b/>
          <w:u w:val="single"/>
        </w:rPr>
        <w:t>Form</w:t>
      </w:r>
      <w:r w:rsidR="003771D0" w:rsidRPr="00C13CCA">
        <w:rPr>
          <w:rFonts w:asciiTheme="minorHAnsi" w:hAnsiTheme="minorHAnsi"/>
          <w:b/>
          <w:u w:val="single"/>
        </w:rPr>
        <w:t xml:space="preserve"> </w:t>
      </w:r>
      <w:r w:rsidRPr="00C13CCA">
        <w:rPr>
          <w:rFonts w:asciiTheme="minorHAnsi" w:hAnsiTheme="minorHAnsi"/>
          <w:b/>
          <w:u w:val="single"/>
        </w:rPr>
        <w:t xml:space="preserve">and Certificate </w:t>
      </w:r>
      <w:r w:rsidR="00FE5C32" w:rsidRPr="00C13CCA">
        <w:rPr>
          <w:rFonts w:asciiTheme="minorHAnsi" w:hAnsiTheme="minorHAnsi"/>
          <w:b/>
          <w:u w:val="single"/>
        </w:rPr>
        <w:t xml:space="preserve">of </w:t>
      </w:r>
      <w:r w:rsidR="00821DF1" w:rsidRPr="00C13CCA">
        <w:rPr>
          <w:rFonts w:asciiTheme="minorHAnsi" w:hAnsiTheme="minorHAnsi"/>
          <w:b/>
          <w:u w:val="single"/>
        </w:rPr>
        <w:t>Fact</w:t>
      </w:r>
      <w:r w:rsidR="00FE5C32" w:rsidRPr="00C13CCA">
        <w:rPr>
          <w:rFonts w:asciiTheme="minorHAnsi" w:hAnsiTheme="minorHAnsi"/>
          <w:b/>
          <w:u w:val="single"/>
        </w:rPr>
        <w:t xml:space="preserve"> </w:t>
      </w:r>
      <w:r w:rsidRPr="00C13CCA">
        <w:rPr>
          <w:rFonts w:asciiTheme="minorHAnsi" w:hAnsiTheme="minorHAnsi"/>
          <w:b/>
          <w:u w:val="single"/>
        </w:rPr>
        <w:t>from Texas Secretary of State</w:t>
      </w:r>
      <w:r w:rsidR="001A2144" w:rsidRPr="00C13CCA">
        <w:rPr>
          <w:rFonts w:asciiTheme="minorHAnsi" w:hAnsiTheme="minorHAnsi"/>
        </w:rPr>
        <w:t>.</w:t>
      </w:r>
    </w:p>
    <w:p w14:paraId="2C9F9A77" w14:textId="622E5ACB" w:rsidR="001356E5" w:rsidRPr="00C13CCA" w:rsidRDefault="00BF39C3" w:rsidP="001356E5">
      <w:pPr>
        <w:numPr>
          <w:ilvl w:val="0"/>
          <w:numId w:val="3"/>
        </w:numPr>
        <w:ind w:left="1440"/>
        <w:jc w:val="both"/>
        <w:rPr>
          <w:rFonts w:asciiTheme="minorHAnsi" w:hAnsiTheme="minorHAnsi"/>
        </w:rPr>
      </w:pPr>
      <w:r w:rsidRPr="00C13CCA">
        <w:rPr>
          <w:rFonts w:asciiTheme="minorHAnsi" w:hAnsiTheme="minorHAnsi"/>
        </w:rPr>
        <w:t>Submit the d</w:t>
      </w:r>
      <w:r w:rsidR="00FE5C32" w:rsidRPr="00C13CCA">
        <w:rPr>
          <w:rFonts w:asciiTheme="minorHAnsi" w:hAnsiTheme="minorHAnsi"/>
        </w:rPr>
        <w:t>ocument</w:t>
      </w:r>
      <w:r w:rsidR="001356E5" w:rsidRPr="00C13CCA">
        <w:rPr>
          <w:rFonts w:asciiTheme="minorHAnsi" w:hAnsiTheme="minorHAnsi"/>
        </w:rPr>
        <w:t xml:space="preserve"> from the </w:t>
      </w:r>
      <w:smartTag w:uri="urn:schemas-microsoft-com:office:smarttags" w:element="stockticker">
        <w:r w:rsidR="001356E5" w:rsidRPr="00C13CCA">
          <w:rPr>
            <w:rFonts w:asciiTheme="minorHAnsi" w:hAnsiTheme="minorHAnsi"/>
          </w:rPr>
          <w:t>IRS</w:t>
        </w:r>
      </w:smartTag>
      <w:r w:rsidR="001356E5" w:rsidRPr="00C13CCA">
        <w:rPr>
          <w:rFonts w:asciiTheme="minorHAnsi" w:hAnsiTheme="minorHAnsi"/>
        </w:rPr>
        <w:t xml:space="preserve"> showing the </w:t>
      </w:r>
      <w:r w:rsidR="007E6797" w:rsidRPr="00C13CCA">
        <w:rPr>
          <w:rFonts w:asciiTheme="minorHAnsi" w:hAnsiTheme="minorHAnsi"/>
        </w:rPr>
        <w:t>E</w:t>
      </w:r>
      <w:r w:rsidR="00AF490F" w:rsidRPr="00C13CCA">
        <w:rPr>
          <w:rFonts w:asciiTheme="minorHAnsi" w:hAnsiTheme="minorHAnsi"/>
        </w:rPr>
        <w:t xml:space="preserve">IN </w:t>
      </w:r>
      <w:r w:rsidR="001356E5" w:rsidRPr="00C13CCA">
        <w:rPr>
          <w:rFonts w:asciiTheme="minorHAnsi" w:hAnsiTheme="minorHAnsi"/>
        </w:rPr>
        <w:t xml:space="preserve">of the Development Owner </w:t>
      </w:r>
      <w:r w:rsidR="00310844">
        <w:rPr>
          <w:rFonts w:asciiTheme="minorHAnsi" w:hAnsiTheme="minorHAnsi"/>
        </w:rPr>
        <w:t>(</w:t>
      </w:r>
      <w:r w:rsidR="001356E5" w:rsidRPr="00C13CCA">
        <w:rPr>
          <w:rFonts w:asciiTheme="minorHAnsi" w:hAnsiTheme="minorHAnsi"/>
        </w:rPr>
        <w:t>not the general partner</w:t>
      </w:r>
      <w:r w:rsidR="00310844">
        <w:rPr>
          <w:rFonts w:asciiTheme="minorHAnsi" w:hAnsiTheme="minorHAnsi"/>
        </w:rPr>
        <w:t>)</w:t>
      </w:r>
      <w:r w:rsidR="001356E5" w:rsidRPr="00C13CCA">
        <w:rPr>
          <w:rFonts w:asciiTheme="minorHAnsi" w:hAnsiTheme="minorHAnsi"/>
        </w:rPr>
        <w:t>. The name of the Development Owner must be the same as the name registered with the Texas Secretary of State and stated in the Application and Commitment Notice</w:t>
      </w:r>
      <w:r w:rsidR="00821DF1" w:rsidRPr="00C13CCA">
        <w:rPr>
          <w:rFonts w:asciiTheme="minorHAnsi" w:hAnsiTheme="minorHAnsi"/>
        </w:rPr>
        <w:t>,</w:t>
      </w:r>
      <w:r w:rsidR="00A96CEC" w:rsidRPr="00C13CCA">
        <w:rPr>
          <w:rFonts w:asciiTheme="minorHAnsi" w:hAnsiTheme="minorHAnsi"/>
        </w:rPr>
        <w:t xml:space="preserve"> unless a change was otherwise approved by the Department</w:t>
      </w:r>
      <w:r w:rsidR="001356E5" w:rsidRPr="00C13CCA">
        <w:rPr>
          <w:rFonts w:asciiTheme="minorHAnsi" w:hAnsiTheme="minorHAnsi"/>
        </w:rPr>
        <w:t>.</w:t>
      </w:r>
      <w:r w:rsidR="00821DF1" w:rsidRPr="00C13CCA">
        <w:rPr>
          <w:rFonts w:asciiTheme="minorHAnsi" w:hAnsiTheme="minorHAnsi"/>
        </w:rPr>
        <w:t xml:space="preserve"> Please do not provide a</w:t>
      </w:r>
      <w:r w:rsidR="003771D0" w:rsidRPr="00C13CCA">
        <w:rPr>
          <w:rFonts w:asciiTheme="minorHAnsi" w:hAnsiTheme="minorHAnsi"/>
        </w:rPr>
        <w:t>n</w:t>
      </w:r>
      <w:r w:rsidR="00821DF1" w:rsidRPr="00C13CCA">
        <w:rPr>
          <w:rFonts w:asciiTheme="minorHAnsi" w:hAnsiTheme="minorHAnsi"/>
        </w:rPr>
        <w:t xml:space="preserve"> </w:t>
      </w:r>
      <w:r w:rsidR="003771D0" w:rsidRPr="00C13CCA">
        <w:rPr>
          <w:rFonts w:asciiTheme="minorHAnsi" w:hAnsiTheme="minorHAnsi"/>
        </w:rPr>
        <w:t>EIN</w:t>
      </w:r>
      <w:r w:rsidR="00821DF1" w:rsidRPr="00C13CCA">
        <w:rPr>
          <w:rFonts w:asciiTheme="minorHAnsi" w:hAnsiTheme="minorHAnsi"/>
        </w:rPr>
        <w:t xml:space="preserve"> for any organization in the ownership structure other than the Development Owner.</w:t>
      </w:r>
    </w:p>
    <w:p w14:paraId="01F59D7A" w14:textId="77777777" w:rsidR="00324B40" w:rsidRPr="00C13CCA" w:rsidRDefault="00324B40" w:rsidP="00324B40">
      <w:pPr>
        <w:ind w:left="1440"/>
        <w:jc w:val="both"/>
        <w:rPr>
          <w:rFonts w:asciiTheme="minorHAnsi" w:hAnsiTheme="minorHAnsi"/>
        </w:rPr>
      </w:pPr>
    </w:p>
    <w:p w14:paraId="46A7076B" w14:textId="03020E09" w:rsidR="001356E5" w:rsidRPr="00C13CCA" w:rsidRDefault="000639A0" w:rsidP="001356E5">
      <w:pPr>
        <w:pStyle w:val="para"/>
        <w:numPr>
          <w:ilvl w:val="0"/>
          <w:numId w:val="10"/>
        </w:numPr>
        <w:tabs>
          <w:tab w:val="clear" w:pos="360"/>
          <w:tab w:val="left" w:pos="1100"/>
        </w:tabs>
        <w:spacing w:after="0"/>
        <w:ind w:left="1440"/>
        <w:rPr>
          <w:rFonts w:asciiTheme="minorHAnsi" w:hAnsiTheme="minorHAnsi"/>
          <w:b/>
          <w:sz w:val="24"/>
          <w:szCs w:val="24"/>
        </w:rPr>
      </w:pPr>
      <w:r w:rsidRPr="00C13CCA">
        <w:rPr>
          <w:rFonts w:asciiTheme="minorHAnsi" w:hAnsiTheme="minorHAnsi"/>
          <w:sz w:val="24"/>
          <w:szCs w:val="24"/>
        </w:rPr>
        <w:t xml:space="preserve">A </w:t>
      </w:r>
      <w:r w:rsidR="001356E5" w:rsidRPr="00C13CCA">
        <w:rPr>
          <w:rFonts w:asciiTheme="minorHAnsi" w:hAnsiTheme="minorHAnsi"/>
          <w:sz w:val="24"/>
          <w:szCs w:val="24"/>
        </w:rPr>
        <w:t xml:space="preserve">Certificate of </w:t>
      </w:r>
      <w:r w:rsidRPr="00C13CCA">
        <w:rPr>
          <w:rFonts w:asciiTheme="minorHAnsi" w:hAnsiTheme="minorHAnsi"/>
          <w:sz w:val="24"/>
          <w:szCs w:val="24"/>
        </w:rPr>
        <w:t xml:space="preserve">Fact </w:t>
      </w:r>
      <w:r w:rsidR="00375AFD" w:rsidRPr="00C13CCA">
        <w:rPr>
          <w:rFonts w:asciiTheme="minorHAnsi" w:hAnsiTheme="minorHAnsi"/>
          <w:sz w:val="24"/>
          <w:szCs w:val="24"/>
        </w:rPr>
        <w:t>or</w:t>
      </w:r>
      <w:r w:rsidR="001356E5" w:rsidRPr="00C13CCA">
        <w:rPr>
          <w:rFonts w:asciiTheme="minorHAnsi" w:hAnsiTheme="minorHAnsi"/>
          <w:sz w:val="24"/>
          <w:szCs w:val="24"/>
        </w:rPr>
        <w:t xml:space="preserve"> certificat</w:t>
      </w:r>
      <w:r w:rsidR="00785A39" w:rsidRPr="00C13CCA">
        <w:rPr>
          <w:rFonts w:asciiTheme="minorHAnsi" w:hAnsiTheme="minorHAnsi"/>
          <w:sz w:val="24"/>
          <w:szCs w:val="24"/>
        </w:rPr>
        <w:t>e</w:t>
      </w:r>
      <w:r w:rsidR="001356E5" w:rsidRPr="00C13CCA">
        <w:rPr>
          <w:rFonts w:asciiTheme="minorHAnsi" w:hAnsiTheme="minorHAnsi"/>
          <w:sz w:val="24"/>
          <w:szCs w:val="24"/>
        </w:rPr>
        <w:t xml:space="preserve"> of authority</w:t>
      </w:r>
      <w:r w:rsidR="001356E5" w:rsidRPr="00C13CCA">
        <w:rPr>
          <w:rFonts w:asciiTheme="minorHAnsi" w:hAnsiTheme="minorHAnsi"/>
          <w:b/>
          <w:sz w:val="24"/>
          <w:szCs w:val="24"/>
        </w:rPr>
        <w:t xml:space="preserve"> </w:t>
      </w:r>
      <w:r w:rsidR="001356E5" w:rsidRPr="00C13CCA">
        <w:rPr>
          <w:rFonts w:asciiTheme="minorHAnsi" w:hAnsiTheme="minorHAnsi"/>
          <w:sz w:val="24"/>
          <w:szCs w:val="24"/>
        </w:rPr>
        <w:t xml:space="preserve">(i.e., certificate of authority to do business in Texas for entities organized outside Texas), as applicable, from the Texas Secretary of State </w:t>
      </w:r>
      <w:r w:rsidR="00375AFD" w:rsidRPr="00C13CCA">
        <w:rPr>
          <w:rFonts w:asciiTheme="minorHAnsi" w:hAnsiTheme="minorHAnsi"/>
          <w:sz w:val="24"/>
          <w:szCs w:val="24"/>
        </w:rPr>
        <w:t xml:space="preserve">must be submitted </w:t>
      </w:r>
      <w:r w:rsidR="001356E5" w:rsidRPr="00C13CCA">
        <w:rPr>
          <w:rFonts w:asciiTheme="minorHAnsi" w:hAnsiTheme="minorHAnsi"/>
          <w:sz w:val="24"/>
          <w:szCs w:val="24"/>
        </w:rPr>
        <w:t>for the Development Owner</w:t>
      </w:r>
      <w:r w:rsidR="00D27983" w:rsidRPr="00C13CCA">
        <w:rPr>
          <w:rFonts w:asciiTheme="minorHAnsi" w:hAnsiTheme="minorHAnsi"/>
          <w:sz w:val="24"/>
          <w:szCs w:val="24"/>
        </w:rPr>
        <w:t xml:space="preserve"> [10 TAC §</w:t>
      </w:r>
      <w:r w:rsidR="00832BCE">
        <w:rPr>
          <w:rFonts w:asciiTheme="minorHAnsi" w:hAnsiTheme="minorHAnsi"/>
          <w:sz w:val="24"/>
          <w:szCs w:val="24"/>
        </w:rPr>
        <w:t>11.907</w:t>
      </w:r>
      <w:r w:rsidR="00D27983" w:rsidRPr="00C13CCA">
        <w:rPr>
          <w:rFonts w:asciiTheme="minorHAnsi" w:hAnsiTheme="minorHAnsi"/>
          <w:sz w:val="24"/>
          <w:szCs w:val="24"/>
        </w:rPr>
        <w:t>(4)]</w:t>
      </w:r>
      <w:r w:rsidR="00DC7E1D" w:rsidRPr="00C13CCA">
        <w:rPr>
          <w:rFonts w:asciiTheme="minorHAnsi" w:hAnsiTheme="minorHAnsi"/>
          <w:sz w:val="24"/>
          <w:szCs w:val="24"/>
        </w:rPr>
        <w:t xml:space="preserve">. </w:t>
      </w:r>
      <w:r w:rsidRPr="00C13CCA">
        <w:rPr>
          <w:rFonts w:asciiTheme="minorHAnsi" w:hAnsiTheme="minorHAnsi"/>
          <w:sz w:val="24"/>
          <w:szCs w:val="24"/>
        </w:rPr>
        <w:t>Documentation of the existence</w:t>
      </w:r>
      <w:r w:rsidR="00E31072" w:rsidRPr="00E31072">
        <w:rPr>
          <w:rFonts w:asciiTheme="minorHAnsi" w:hAnsiTheme="minorHAnsi"/>
          <w:sz w:val="24"/>
          <w:szCs w:val="24"/>
        </w:rPr>
        <w:t xml:space="preserve"> </w:t>
      </w:r>
      <w:r w:rsidR="00E31072" w:rsidRPr="00C13CCA">
        <w:rPr>
          <w:rFonts w:asciiTheme="minorHAnsi" w:hAnsiTheme="minorHAnsi"/>
          <w:sz w:val="24"/>
          <w:szCs w:val="24"/>
        </w:rPr>
        <w:t>and</w:t>
      </w:r>
      <w:r w:rsidRPr="00C13CCA">
        <w:rPr>
          <w:rFonts w:asciiTheme="minorHAnsi" w:hAnsiTheme="minorHAnsi"/>
          <w:sz w:val="24"/>
          <w:szCs w:val="24"/>
        </w:rPr>
        <w:t xml:space="preserve"> </w:t>
      </w:r>
      <w:r w:rsidR="00E31072">
        <w:rPr>
          <w:rFonts w:asciiTheme="minorHAnsi" w:hAnsiTheme="minorHAnsi"/>
          <w:sz w:val="24"/>
          <w:szCs w:val="24"/>
        </w:rPr>
        <w:t>membership</w:t>
      </w:r>
      <w:r w:rsidR="00E31072" w:rsidRPr="00C13CCA">
        <w:rPr>
          <w:rFonts w:asciiTheme="minorHAnsi" w:hAnsiTheme="minorHAnsi"/>
          <w:sz w:val="24"/>
          <w:szCs w:val="24"/>
        </w:rPr>
        <w:t xml:space="preserve"> </w:t>
      </w:r>
      <w:r w:rsidRPr="00C13CCA">
        <w:rPr>
          <w:rFonts w:asciiTheme="minorHAnsi" w:hAnsiTheme="minorHAnsi"/>
          <w:sz w:val="24"/>
          <w:szCs w:val="24"/>
        </w:rPr>
        <w:t>of</w:t>
      </w:r>
      <w:r w:rsidR="00DC7E1D" w:rsidRPr="00C13CCA">
        <w:rPr>
          <w:rFonts w:asciiTheme="minorHAnsi" w:hAnsiTheme="minorHAnsi"/>
          <w:sz w:val="24"/>
          <w:szCs w:val="24"/>
        </w:rPr>
        <w:t xml:space="preserve"> each </w:t>
      </w:r>
      <w:r w:rsidRPr="00C13CCA">
        <w:rPr>
          <w:rFonts w:asciiTheme="minorHAnsi" w:hAnsiTheme="minorHAnsi"/>
          <w:sz w:val="24"/>
          <w:szCs w:val="24"/>
        </w:rPr>
        <w:t>organization in the signature block of the Carryover Allocation Agreement must be available on the internet</w:t>
      </w:r>
      <w:r w:rsidR="00D27983" w:rsidRPr="00C13CCA">
        <w:rPr>
          <w:rFonts w:asciiTheme="minorHAnsi" w:hAnsiTheme="minorHAnsi"/>
          <w:sz w:val="24"/>
          <w:szCs w:val="24"/>
        </w:rPr>
        <w:t>,</w:t>
      </w:r>
      <w:r w:rsidRPr="00C13CCA">
        <w:rPr>
          <w:rFonts w:asciiTheme="minorHAnsi" w:hAnsiTheme="minorHAnsi"/>
          <w:sz w:val="24"/>
          <w:szCs w:val="24"/>
        </w:rPr>
        <w:t xml:space="preserve"> </w:t>
      </w:r>
      <w:r w:rsidR="001B09AE" w:rsidRPr="00C13CCA">
        <w:rPr>
          <w:rFonts w:asciiTheme="minorHAnsi" w:hAnsiTheme="minorHAnsi"/>
          <w:sz w:val="24"/>
          <w:szCs w:val="24"/>
        </w:rPr>
        <w:t xml:space="preserve">or from the Development Owner at the request of </w:t>
      </w:r>
      <w:r w:rsidR="002639C1" w:rsidRPr="00C13CCA">
        <w:rPr>
          <w:rFonts w:asciiTheme="minorHAnsi" w:hAnsiTheme="minorHAnsi"/>
          <w:sz w:val="24"/>
          <w:szCs w:val="24"/>
        </w:rPr>
        <w:t xml:space="preserve">the </w:t>
      </w:r>
      <w:r w:rsidR="001B09AE" w:rsidRPr="00C13CCA">
        <w:rPr>
          <w:rFonts w:asciiTheme="minorHAnsi" w:hAnsiTheme="minorHAnsi"/>
          <w:sz w:val="24"/>
          <w:szCs w:val="24"/>
        </w:rPr>
        <w:t xml:space="preserve">Department. The availability of this documentation is required for </w:t>
      </w:r>
      <w:r w:rsidR="00B01DBB" w:rsidRPr="00C13CCA">
        <w:rPr>
          <w:rFonts w:asciiTheme="minorHAnsi" w:hAnsiTheme="minorHAnsi"/>
          <w:sz w:val="24"/>
          <w:szCs w:val="24"/>
        </w:rPr>
        <w:t>entit</w:t>
      </w:r>
      <w:r w:rsidR="001B09AE" w:rsidRPr="00C13CCA">
        <w:rPr>
          <w:rFonts w:asciiTheme="minorHAnsi" w:hAnsiTheme="minorHAnsi"/>
          <w:sz w:val="24"/>
          <w:szCs w:val="24"/>
        </w:rPr>
        <w:t>ies</w:t>
      </w:r>
      <w:r w:rsidR="00B01DBB" w:rsidRPr="00C13CCA">
        <w:rPr>
          <w:rFonts w:asciiTheme="minorHAnsi" w:hAnsiTheme="minorHAnsi"/>
          <w:sz w:val="24"/>
          <w:szCs w:val="24"/>
        </w:rPr>
        <w:t xml:space="preserve"> </w:t>
      </w:r>
      <w:r w:rsidR="00DC7E1D" w:rsidRPr="00C13CCA">
        <w:rPr>
          <w:rFonts w:asciiTheme="minorHAnsi" w:hAnsiTheme="minorHAnsi"/>
          <w:sz w:val="24"/>
          <w:szCs w:val="24"/>
        </w:rPr>
        <w:t xml:space="preserve">organized in Texas and outside Texas. </w:t>
      </w:r>
      <w:r w:rsidR="001B09AE" w:rsidRPr="00C13CCA">
        <w:rPr>
          <w:rFonts w:asciiTheme="minorHAnsi" w:hAnsiTheme="minorHAnsi"/>
          <w:sz w:val="24"/>
          <w:szCs w:val="24"/>
        </w:rPr>
        <w:t>Any</w:t>
      </w:r>
      <w:r w:rsidR="00DC7E1D" w:rsidRPr="00C13CCA">
        <w:rPr>
          <w:rFonts w:asciiTheme="minorHAnsi" w:hAnsiTheme="minorHAnsi"/>
          <w:sz w:val="24"/>
          <w:szCs w:val="24"/>
        </w:rPr>
        <w:t xml:space="preserve"> organization name in </w:t>
      </w:r>
      <w:r w:rsidR="001B09AE" w:rsidRPr="00C13CCA">
        <w:rPr>
          <w:rFonts w:asciiTheme="minorHAnsi" w:hAnsiTheme="minorHAnsi"/>
          <w:sz w:val="24"/>
          <w:szCs w:val="24"/>
        </w:rPr>
        <w:t xml:space="preserve">the carryover execution block should exactly match the name in </w:t>
      </w:r>
      <w:r w:rsidR="00D91D5B" w:rsidRPr="00C13CCA">
        <w:rPr>
          <w:rFonts w:asciiTheme="minorHAnsi" w:hAnsiTheme="minorHAnsi"/>
          <w:sz w:val="24"/>
          <w:szCs w:val="24"/>
        </w:rPr>
        <w:t xml:space="preserve">the </w:t>
      </w:r>
      <w:r w:rsidR="00D27983" w:rsidRPr="00C13CCA">
        <w:rPr>
          <w:rFonts w:asciiTheme="minorHAnsi" w:hAnsiTheme="minorHAnsi"/>
          <w:sz w:val="24"/>
          <w:szCs w:val="24"/>
        </w:rPr>
        <w:t xml:space="preserve">entity’s </w:t>
      </w:r>
      <w:r w:rsidR="00D91D5B" w:rsidRPr="00C13CCA">
        <w:rPr>
          <w:rFonts w:asciiTheme="minorHAnsi" w:hAnsiTheme="minorHAnsi"/>
          <w:sz w:val="24"/>
          <w:szCs w:val="24"/>
        </w:rPr>
        <w:t xml:space="preserve">organizational records </w:t>
      </w:r>
      <w:r w:rsidR="00DC7E1D" w:rsidRPr="00C13CCA">
        <w:rPr>
          <w:rFonts w:asciiTheme="minorHAnsi" w:hAnsiTheme="minorHAnsi"/>
          <w:sz w:val="24"/>
          <w:szCs w:val="24"/>
        </w:rPr>
        <w:t>in both spelling and punctuation. No part of an organization’s name should be truncated or abbreviated</w:t>
      </w:r>
      <w:r w:rsidR="00D91D5B" w:rsidRPr="00C13CCA">
        <w:rPr>
          <w:rFonts w:asciiTheme="minorHAnsi" w:hAnsiTheme="minorHAnsi"/>
          <w:sz w:val="24"/>
          <w:szCs w:val="24"/>
        </w:rPr>
        <w:t xml:space="preserve"> in the execution block</w:t>
      </w:r>
      <w:r w:rsidR="00DC7E1D" w:rsidRPr="00C13CCA">
        <w:rPr>
          <w:rFonts w:asciiTheme="minorHAnsi" w:hAnsiTheme="minorHAnsi"/>
          <w:sz w:val="24"/>
          <w:szCs w:val="24"/>
        </w:rPr>
        <w:t xml:space="preserve">. </w:t>
      </w:r>
      <w:r w:rsidR="00D91D5B" w:rsidRPr="00C13CCA">
        <w:rPr>
          <w:rFonts w:asciiTheme="minorHAnsi" w:hAnsiTheme="minorHAnsi"/>
          <w:sz w:val="24"/>
          <w:szCs w:val="24"/>
        </w:rPr>
        <w:t>As an example, i</w:t>
      </w:r>
      <w:r w:rsidR="00DC7E1D" w:rsidRPr="00C13CCA">
        <w:rPr>
          <w:rFonts w:asciiTheme="minorHAnsi" w:hAnsiTheme="minorHAnsi"/>
          <w:sz w:val="24"/>
          <w:szCs w:val="24"/>
        </w:rPr>
        <w:t xml:space="preserve">f the ownership entity name includes the words “Limited Partnership,” it is </w:t>
      </w:r>
      <w:r w:rsidR="00650EA2">
        <w:rPr>
          <w:rFonts w:asciiTheme="minorHAnsi" w:hAnsiTheme="minorHAnsi"/>
          <w:sz w:val="24"/>
          <w:szCs w:val="24"/>
        </w:rPr>
        <w:t>incorrect</w:t>
      </w:r>
      <w:r w:rsidR="00DC7E1D" w:rsidRPr="00C13CCA">
        <w:rPr>
          <w:rFonts w:asciiTheme="minorHAnsi" w:hAnsiTheme="minorHAnsi"/>
          <w:sz w:val="24"/>
          <w:szCs w:val="24"/>
        </w:rPr>
        <w:t xml:space="preserve"> to substitute “Ltd.” or “L.P.”</w:t>
      </w:r>
    </w:p>
    <w:p w14:paraId="10D47343" w14:textId="77777777" w:rsidR="00324B40" w:rsidRPr="00C13CCA" w:rsidRDefault="00324B40" w:rsidP="00324B40">
      <w:pPr>
        <w:pStyle w:val="para"/>
        <w:tabs>
          <w:tab w:val="clear" w:pos="360"/>
          <w:tab w:val="left" w:pos="1100"/>
        </w:tabs>
        <w:spacing w:after="0"/>
        <w:ind w:left="1440"/>
        <w:rPr>
          <w:rFonts w:asciiTheme="minorHAnsi" w:hAnsiTheme="minorHAnsi"/>
          <w:b/>
          <w:sz w:val="24"/>
          <w:szCs w:val="24"/>
        </w:rPr>
      </w:pPr>
    </w:p>
    <w:p w14:paraId="41567E39" w14:textId="17D67634" w:rsidR="00C3062B" w:rsidRPr="00C13CCA" w:rsidRDefault="00D91D5B" w:rsidP="001356E5">
      <w:pPr>
        <w:pStyle w:val="para"/>
        <w:numPr>
          <w:ilvl w:val="0"/>
          <w:numId w:val="10"/>
        </w:numPr>
        <w:tabs>
          <w:tab w:val="clear" w:pos="360"/>
          <w:tab w:val="left" w:pos="1100"/>
        </w:tabs>
        <w:spacing w:after="0"/>
        <w:ind w:left="1440"/>
        <w:rPr>
          <w:rFonts w:asciiTheme="minorHAnsi" w:hAnsiTheme="minorHAnsi"/>
          <w:b/>
          <w:sz w:val="24"/>
          <w:szCs w:val="24"/>
        </w:rPr>
      </w:pPr>
      <w:r w:rsidRPr="00C13CCA">
        <w:rPr>
          <w:rFonts w:asciiTheme="minorHAnsi" w:hAnsiTheme="minorHAnsi"/>
          <w:sz w:val="24"/>
          <w:szCs w:val="24"/>
        </w:rPr>
        <w:t xml:space="preserve">A certificate of </w:t>
      </w:r>
      <w:r w:rsidR="00C3062B" w:rsidRPr="00C13CCA">
        <w:rPr>
          <w:rFonts w:asciiTheme="minorHAnsi" w:hAnsiTheme="minorHAnsi"/>
          <w:sz w:val="24"/>
          <w:szCs w:val="24"/>
        </w:rPr>
        <w:t xml:space="preserve">Franchise Tax Account Status from the Texas Comptroller of Public Accounts </w:t>
      </w:r>
      <w:r w:rsidRPr="00C13CCA">
        <w:rPr>
          <w:rFonts w:asciiTheme="minorHAnsi" w:hAnsiTheme="minorHAnsi"/>
          <w:sz w:val="24"/>
          <w:szCs w:val="24"/>
        </w:rPr>
        <w:t>must be available for the organization that is the Development Owner. [</w:t>
      </w:r>
      <w:r w:rsidR="00AB4907" w:rsidRPr="00C13CCA">
        <w:rPr>
          <w:rFonts w:asciiTheme="minorHAnsi" w:hAnsiTheme="minorHAnsi"/>
          <w:sz w:val="24"/>
          <w:szCs w:val="24"/>
        </w:rPr>
        <w:t xml:space="preserve">10 TAC </w:t>
      </w:r>
      <w:r w:rsidR="00C3062B" w:rsidRPr="00C13CCA">
        <w:rPr>
          <w:rFonts w:asciiTheme="minorHAnsi" w:hAnsiTheme="minorHAnsi"/>
          <w:sz w:val="24"/>
          <w:szCs w:val="24"/>
        </w:rPr>
        <w:t>§</w:t>
      </w:r>
      <w:r w:rsidR="00832BCE">
        <w:rPr>
          <w:rFonts w:asciiTheme="minorHAnsi" w:hAnsiTheme="minorHAnsi"/>
          <w:sz w:val="24"/>
          <w:szCs w:val="24"/>
        </w:rPr>
        <w:t>11.907</w:t>
      </w:r>
      <w:r w:rsidR="00C3062B" w:rsidRPr="00C13CCA">
        <w:rPr>
          <w:rFonts w:asciiTheme="minorHAnsi" w:hAnsiTheme="minorHAnsi"/>
          <w:sz w:val="24"/>
          <w:szCs w:val="24"/>
        </w:rPr>
        <w:t>(4)</w:t>
      </w:r>
      <w:r w:rsidRPr="00C13CCA">
        <w:rPr>
          <w:rFonts w:asciiTheme="minorHAnsi" w:hAnsiTheme="minorHAnsi"/>
          <w:sz w:val="24"/>
          <w:szCs w:val="24"/>
        </w:rPr>
        <w:t>]</w:t>
      </w:r>
    </w:p>
    <w:p w14:paraId="2E3522FB" w14:textId="77777777" w:rsidR="001356E5" w:rsidRPr="002F6D9B" w:rsidRDefault="001356E5" w:rsidP="002F6D9B">
      <w:pPr>
        <w:jc w:val="both"/>
        <w:rPr>
          <w:rFonts w:asciiTheme="minorHAnsi" w:hAnsiTheme="minorHAnsi"/>
          <w:b/>
          <w:u w:val="single"/>
        </w:rPr>
      </w:pPr>
    </w:p>
    <w:p w14:paraId="478BBB98" w14:textId="77777777" w:rsidR="001356E5" w:rsidRPr="00C13CCA" w:rsidRDefault="001356E5" w:rsidP="003B522B">
      <w:pPr>
        <w:numPr>
          <w:ilvl w:val="0"/>
          <w:numId w:val="4"/>
        </w:numPr>
        <w:ind w:left="720" w:hanging="380"/>
        <w:jc w:val="both"/>
        <w:rPr>
          <w:rFonts w:asciiTheme="minorHAnsi" w:hAnsiTheme="minorHAnsi"/>
          <w:b/>
          <w:u w:val="single"/>
        </w:rPr>
      </w:pPr>
      <w:r w:rsidRPr="00C13CCA">
        <w:rPr>
          <w:rFonts w:asciiTheme="minorHAnsi" w:hAnsiTheme="minorHAnsi"/>
          <w:b/>
          <w:u w:val="single"/>
        </w:rPr>
        <w:t xml:space="preserve">Tab </w:t>
      </w:r>
      <w:r w:rsidR="000F2870" w:rsidRPr="00C13CCA">
        <w:rPr>
          <w:rFonts w:asciiTheme="minorHAnsi" w:hAnsiTheme="minorHAnsi"/>
          <w:b/>
          <w:u w:val="single"/>
        </w:rPr>
        <w:t>4</w:t>
      </w:r>
      <w:r w:rsidRPr="00C13CCA">
        <w:rPr>
          <w:rFonts w:asciiTheme="minorHAnsi" w:hAnsiTheme="minorHAnsi"/>
          <w:b/>
          <w:u w:val="single"/>
        </w:rPr>
        <w:t>: Fair Housing Training</w:t>
      </w:r>
      <w:r w:rsidR="001A2144" w:rsidRPr="00C13CCA">
        <w:rPr>
          <w:rFonts w:asciiTheme="minorHAnsi" w:hAnsiTheme="minorHAnsi"/>
        </w:rPr>
        <w:t>.</w:t>
      </w:r>
    </w:p>
    <w:p w14:paraId="56A889D6" w14:textId="6F55E4A0" w:rsidR="00785A39" w:rsidRPr="00C13CCA" w:rsidRDefault="005335EF" w:rsidP="00C95D1A">
      <w:pPr>
        <w:numPr>
          <w:ilvl w:val="0"/>
          <w:numId w:val="3"/>
        </w:numPr>
        <w:ind w:left="1440"/>
        <w:jc w:val="both"/>
        <w:rPr>
          <w:rFonts w:asciiTheme="minorHAnsi" w:hAnsiTheme="minorHAnsi"/>
        </w:rPr>
      </w:pPr>
      <w:r>
        <w:rPr>
          <w:rFonts w:asciiTheme="minorHAnsi" w:hAnsiTheme="minorHAnsi"/>
        </w:rPr>
        <w:t xml:space="preserve">Note that the exact language to fulfill this requirement will be provided by the Department in Tab 4 of the Carryover Package. </w:t>
      </w:r>
      <w:r w:rsidR="001356E5" w:rsidRPr="00C13CCA">
        <w:rPr>
          <w:rFonts w:asciiTheme="minorHAnsi" w:hAnsiTheme="minorHAnsi"/>
        </w:rPr>
        <w:t>Note that th</w:t>
      </w:r>
      <w:r w:rsidR="00246DAA" w:rsidRPr="00C13CCA">
        <w:rPr>
          <w:rFonts w:asciiTheme="minorHAnsi" w:hAnsiTheme="minorHAnsi"/>
        </w:rPr>
        <w:t>e</w:t>
      </w:r>
      <w:r w:rsidR="001356E5" w:rsidRPr="00C13CCA">
        <w:rPr>
          <w:rFonts w:asciiTheme="minorHAnsi" w:hAnsiTheme="minorHAnsi"/>
        </w:rPr>
        <w:t xml:space="preserve"> requirement</w:t>
      </w:r>
      <w:r w:rsidR="00B01DBB" w:rsidRPr="00C13CCA">
        <w:rPr>
          <w:rFonts w:asciiTheme="minorHAnsi" w:hAnsiTheme="minorHAnsi"/>
        </w:rPr>
        <w:t xml:space="preserve"> </w:t>
      </w:r>
      <w:r w:rsidR="00246DAA" w:rsidRPr="00C13CCA">
        <w:rPr>
          <w:rFonts w:asciiTheme="minorHAnsi" w:hAnsiTheme="minorHAnsi"/>
        </w:rPr>
        <w:t>for</w:t>
      </w:r>
      <w:r w:rsidR="00B01DBB" w:rsidRPr="00C13CCA">
        <w:rPr>
          <w:rFonts w:asciiTheme="minorHAnsi" w:hAnsiTheme="minorHAnsi"/>
        </w:rPr>
        <w:t xml:space="preserve"> this </w:t>
      </w:r>
      <w:r w:rsidR="00B01DBB" w:rsidRPr="00C13CCA">
        <w:rPr>
          <w:rFonts w:asciiTheme="minorHAnsi" w:hAnsiTheme="minorHAnsi"/>
        </w:rPr>
        <w:lastRenderedPageBreak/>
        <w:t xml:space="preserve">carryover package </w:t>
      </w:r>
      <w:r w:rsidR="001356E5" w:rsidRPr="00C13CCA">
        <w:rPr>
          <w:rFonts w:asciiTheme="minorHAnsi" w:hAnsiTheme="minorHAnsi"/>
        </w:rPr>
        <w:t>is for a statement, not evidence of attendance</w:t>
      </w:r>
      <w:r w:rsidR="007E2B47" w:rsidRPr="00C13CCA">
        <w:rPr>
          <w:rFonts w:asciiTheme="minorHAnsi" w:hAnsiTheme="minorHAnsi"/>
        </w:rPr>
        <w:t>. Please</w:t>
      </w:r>
      <w:r w:rsidR="00246DAA" w:rsidRPr="00C13CCA">
        <w:rPr>
          <w:rFonts w:asciiTheme="minorHAnsi" w:hAnsiTheme="minorHAnsi"/>
        </w:rPr>
        <w:t xml:space="preserve"> do not submit the documentation </w:t>
      </w:r>
      <w:r w:rsidR="001047CA">
        <w:rPr>
          <w:rFonts w:asciiTheme="minorHAnsi" w:hAnsiTheme="minorHAnsi"/>
        </w:rPr>
        <w:t xml:space="preserve">of attendance </w:t>
      </w:r>
      <w:r w:rsidR="00246DAA" w:rsidRPr="00C13CCA">
        <w:rPr>
          <w:rFonts w:asciiTheme="minorHAnsi" w:hAnsiTheme="minorHAnsi"/>
        </w:rPr>
        <w:t>itself</w:t>
      </w:r>
      <w:r w:rsidR="0095014F">
        <w:rPr>
          <w:rFonts w:asciiTheme="minorHAnsi" w:hAnsiTheme="minorHAnsi"/>
        </w:rPr>
        <w:t>;</w:t>
      </w:r>
      <w:r w:rsidR="00AB4907" w:rsidRPr="00C13CCA">
        <w:rPr>
          <w:rFonts w:asciiTheme="minorHAnsi" w:hAnsiTheme="minorHAnsi"/>
        </w:rPr>
        <w:t xml:space="preserve"> submit the</w:t>
      </w:r>
      <w:r w:rsidR="007E2B47" w:rsidRPr="00C13CCA">
        <w:rPr>
          <w:rFonts w:asciiTheme="minorHAnsi" w:hAnsiTheme="minorHAnsi"/>
        </w:rPr>
        <w:t xml:space="preserve"> statement</w:t>
      </w:r>
      <w:r w:rsidR="0001194B" w:rsidRPr="00C13CCA">
        <w:rPr>
          <w:rFonts w:asciiTheme="minorHAnsi" w:hAnsiTheme="minorHAnsi"/>
        </w:rPr>
        <w:t>,</w:t>
      </w:r>
      <w:r w:rsidR="007E2B47" w:rsidRPr="00C13CCA">
        <w:rPr>
          <w:rFonts w:asciiTheme="minorHAnsi" w:hAnsiTheme="minorHAnsi"/>
        </w:rPr>
        <w:t xml:space="preserve"> only</w:t>
      </w:r>
      <w:r w:rsidR="00594B6D" w:rsidRPr="00C13CCA">
        <w:rPr>
          <w:rFonts w:asciiTheme="minorHAnsi" w:hAnsiTheme="minorHAnsi"/>
        </w:rPr>
        <w:t>.</w:t>
      </w:r>
      <w:r w:rsidR="00594B6D" w:rsidRPr="00C13CCA" w:rsidDel="00594B6D">
        <w:rPr>
          <w:rFonts w:asciiTheme="minorHAnsi" w:hAnsiTheme="minorHAnsi"/>
        </w:rPr>
        <w:t xml:space="preserve"> </w:t>
      </w:r>
      <w:r w:rsidR="001356E5" w:rsidRPr="00C13CCA">
        <w:rPr>
          <w:rFonts w:asciiTheme="minorHAnsi" w:hAnsiTheme="minorHAnsi"/>
        </w:rPr>
        <w:t xml:space="preserve">Certificates of attendance </w:t>
      </w:r>
      <w:r w:rsidR="00D27983" w:rsidRPr="00C13CCA">
        <w:rPr>
          <w:rFonts w:asciiTheme="minorHAnsi" w:hAnsiTheme="minorHAnsi"/>
        </w:rPr>
        <w:t xml:space="preserve">indicating satisfactory completion </w:t>
      </w:r>
      <w:r w:rsidR="001356E5" w:rsidRPr="00C13CCA">
        <w:rPr>
          <w:rFonts w:asciiTheme="minorHAnsi" w:hAnsiTheme="minorHAnsi"/>
        </w:rPr>
        <w:t xml:space="preserve">are due </w:t>
      </w:r>
      <w:r w:rsidR="00B01DBB" w:rsidRPr="00C13CCA">
        <w:rPr>
          <w:rFonts w:asciiTheme="minorHAnsi" w:hAnsiTheme="minorHAnsi"/>
        </w:rPr>
        <w:t>with</w:t>
      </w:r>
      <w:r w:rsidR="001356E5" w:rsidRPr="00C13CCA">
        <w:rPr>
          <w:rFonts w:asciiTheme="minorHAnsi" w:hAnsiTheme="minorHAnsi"/>
        </w:rPr>
        <w:t xml:space="preserve"> the</w:t>
      </w:r>
      <w:r w:rsidR="00B01DBB" w:rsidRPr="00C13CCA">
        <w:rPr>
          <w:rFonts w:asciiTheme="minorHAnsi" w:hAnsiTheme="minorHAnsi"/>
        </w:rPr>
        <w:t xml:space="preserve"> 10% Test submission</w:t>
      </w:r>
      <w:r w:rsidR="001356E5" w:rsidRPr="00C13CCA">
        <w:rPr>
          <w:rFonts w:asciiTheme="minorHAnsi" w:hAnsiTheme="minorHAnsi"/>
        </w:rPr>
        <w:t xml:space="preserve"> and </w:t>
      </w:r>
      <w:r w:rsidR="00246DAA" w:rsidRPr="00C13CCA">
        <w:rPr>
          <w:rFonts w:asciiTheme="minorHAnsi" w:hAnsiTheme="minorHAnsi"/>
        </w:rPr>
        <w:t>must be submitted at that time</w:t>
      </w:r>
      <w:r w:rsidR="003E7E41" w:rsidRPr="00C13CCA">
        <w:rPr>
          <w:rFonts w:asciiTheme="minorHAnsi" w:hAnsiTheme="minorHAnsi"/>
        </w:rPr>
        <w:t xml:space="preserve"> pursuant to </w:t>
      </w:r>
      <w:r w:rsidR="00AB4907" w:rsidRPr="00C13CCA">
        <w:rPr>
          <w:rFonts w:asciiTheme="minorHAnsi" w:hAnsiTheme="minorHAnsi"/>
        </w:rPr>
        <w:t xml:space="preserve">10 TAC </w:t>
      </w:r>
      <w:r w:rsidR="003E7E41" w:rsidRPr="00C13CCA">
        <w:rPr>
          <w:rFonts w:asciiTheme="minorHAnsi" w:hAnsiTheme="minorHAnsi"/>
        </w:rPr>
        <w:t>§</w:t>
      </w:r>
      <w:r w:rsidR="006D0422">
        <w:rPr>
          <w:rFonts w:asciiTheme="minorHAnsi" w:hAnsiTheme="minorHAnsi"/>
        </w:rPr>
        <w:t>10.401(a)</w:t>
      </w:r>
      <w:r w:rsidR="003E7E41" w:rsidRPr="00C13CCA">
        <w:rPr>
          <w:rFonts w:asciiTheme="minorHAnsi" w:hAnsiTheme="minorHAnsi"/>
        </w:rPr>
        <w:t>(</w:t>
      </w:r>
      <w:r w:rsidR="007006CB" w:rsidRPr="00C13CCA">
        <w:rPr>
          <w:rFonts w:asciiTheme="minorHAnsi" w:hAnsiTheme="minorHAnsi"/>
        </w:rPr>
        <w:t>6</w:t>
      </w:r>
      <w:r w:rsidR="003E7E41" w:rsidRPr="00C13CCA">
        <w:rPr>
          <w:rFonts w:asciiTheme="minorHAnsi" w:hAnsiTheme="minorHAnsi"/>
        </w:rPr>
        <w:t>)</w:t>
      </w:r>
      <w:r w:rsidR="00246DAA" w:rsidRPr="00C13CCA">
        <w:rPr>
          <w:rFonts w:asciiTheme="minorHAnsi" w:hAnsiTheme="minorHAnsi"/>
        </w:rPr>
        <w:t>. T</w:t>
      </w:r>
      <w:r w:rsidR="001356E5" w:rsidRPr="00C13CCA">
        <w:rPr>
          <w:rFonts w:asciiTheme="minorHAnsi" w:hAnsiTheme="minorHAnsi"/>
        </w:rPr>
        <w:t xml:space="preserve">he fair housing training </w:t>
      </w:r>
      <w:r w:rsidR="003E7E41" w:rsidRPr="00C13CCA">
        <w:rPr>
          <w:rFonts w:asciiTheme="minorHAnsi" w:hAnsiTheme="minorHAnsi"/>
        </w:rPr>
        <w:t xml:space="preserve">course </w:t>
      </w:r>
      <w:r w:rsidR="001356E5" w:rsidRPr="00C13CCA">
        <w:rPr>
          <w:rFonts w:asciiTheme="minorHAnsi" w:hAnsiTheme="minorHAnsi"/>
        </w:rPr>
        <w:t>date</w:t>
      </w:r>
      <w:r w:rsidR="003E7E41" w:rsidRPr="00C13CCA">
        <w:rPr>
          <w:rFonts w:asciiTheme="minorHAnsi" w:hAnsiTheme="minorHAnsi"/>
        </w:rPr>
        <w:t>s</w:t>
      </w:r>
      <w:r w:rsidR="001356E5" w:rsidRPr="00C13CCA">
        <w:rPr>
          <w:rFonts w:asciiTheme="minorHAnsi" w:hAnsiTheme="minorHAnsi"/>
        </w:rPr>
        <w:t xml:space="preserve"> must not be more than </w:t>
      </w:r>
      <w:r w:rsidR="009A2037" w:rsidRPr="00C13CCA">
        <w:rPr>
          <w:rFonts w:asciiTheme="minorHAnsi" w:hAnsiTheme="minorHAnsi"/>
        </w:rPr>
        <w:t>t</w:t>
      </w:r>
      <w:r w:rsidR="0095014F">
        <w:rPr>
          <w:rFonts w:asciiTheme="minorHAnsi" w:hAnsiTheme="minorHAnsi"/>
        </w:rPr>
        <w:t>hree</w:t>
      </w:r>
      <w:r w:rsidR="001356E5" w:rsidRPr="00C13CCA">
        <w:rPr>
          <w:rFonts w:asciiTheme="minorHAnsi" w:hAnsiTheme="minorHAnsi"/>
        </w:rPr>
        <w:t xml:space="preserve"> (</w:t>
      </w:r>
      <w:r w:rsidR="0095014F">
        <w:rPr>
          <w:rFonts w:asciiTheme="minorHAnsi" w:hAnsiTheme="minorHAnsi"/>
        </w:rPr>
        <w:t>3</w:t>
      </w:r>
      <w:r w:rsidR="001356E5" w:rsidRPr="00C13CCA">
        <w:rPr>
          <w:rFonts w:asciiTheme="minorHAnsi" w:hAnsiTheme="minorHAnsi"/>
        </w:rPr>
        <w:t>) year</w:t>
      </w:r>
      <w:r w:rsidR="009A2037" w:rsidRPr="00C13CCA">
        <w:rPr>
          <w:rFonts w:asciiTheme="minorHAnsi" w:hAnsiTheme="minorHAnsi"/>
        </w:rPr>
        <w:t>s</w:t>
      </w:r>
      <w:r w:rsidR="001356E5" w:rsidRPr="00C13CCA">
        <w:rPr>
          <w:rFonts w:asciiTheme="minorHAnsi" w:hAnsiTheme="minorHAnsi"/>
        </w:rPr>
        <w:t xml:space="preserve"> prior to the 10% Test submission.</w:t>
      </w:r>
      <w:r w:rsidR="003E7E41" w:rsidRPr="00C13CCA">
        <w:rPr>
          <w:rFonts w:asciiTheme="minorHAnsi" w:hAnsiTheme="minorHAnsi"/>
        </w:rPr>
        <w:t xml:space="preserve"> </w:t>
      </w:r>
      <w:r w:rsidR="003E7E41" w:rsidRPr="00C13CCA">
        <w:rPr>
          <w:rFonts w:asciiTheme="minorHAnsi" w:hAnsiTheme="minorHAnsi"/>
          <w:i/>
        </w:rPr>
        <w:t xml:space="preserve">Note: the 10% Test for </w:t>
      </w:r>
      <w:r w:rsidRPr="00E56FE8">
        <w:rPr>
          <w:rFonts w:asciiTheme="minorHAnsi" w:hAnsiTheme="minorHAnsi"/>
          <w:i/>
        </w:rPr>
        <w:t>202</w:t>
      </w:r>
      <w:r w:rsidR="003B4B8D" w:rsidRPr="00E56FE8">
        <w:rPr>
          <w:rFonts w:asciiTheme="minorHAnsi" w:hAnsiTheme="minorHAnsi"/>
          <w:i/>
        </w:rPr>
        <w:t>5</w:t>
      </w:r>
      <w:r w:rsidRPr="00E56FE8">
        <w:rPr>
          <w:rFonts w:asciiTheme="minorHAnsi" w:hAnsiTheme="minorHAnsi"/>
          <w:i/>
        </w:rPr>
        <w:t xml:space="preserve"> </w:t>
      </w:r>
      <w:r w:rsidR="003E7E41" w:rsidRPr="00C13CCA">
        <w:rPr>
          <w:rFonts w:asciiTheme="minorHAnsi" w:hAnsiTheme="minorHAnsi"/>
          <w:i/>
        </w:rPr>
        <w:t xml:space="preserve">Awardees will be processed by the Department’s Asset Management Division, and the instructions for submitting the 10% Test documentation will be part of the Post Award Activities Manual </w:t>
      </w:r>
      <w:r w:rsidR="00942896" w:rsidRPr="00C13CCA">
        <w:rPr>
          <w:rFonts w:asciiTheme="minorHAnsi" w:hAnsiTheme="minorHAnsi"/>
          <w:i/>
        </w:rPr>
        <w:t xml:space="preserve">that is </w:t>
      </w:r>
      <w:r w:rsidR="003E7E41" w:rsidRPr="00C13CCA">
        <w:rPr>
          <w:rFonts w:asciiTheme="minorHAnsi" w:hAnsiTheme="minorHAnsi"/>
          <w:i/>
        </w:rPr>
        <w:t xml:space="preserve">posted </w:t>
      </w:r>
      <w:r w:rsidR="00942896" w:rsidRPr="00C13CCA">
        <w:rPr>
          <w:rFonts w:asciiTheme="minorHAnsi" w:hAnsiTheme="minorHAnsi"/>
          <w:i/>
        </w:rPr>
        <w:t xml:space="preserve">at the time for submission </w:t>
      </w:r>
      <w:r w:rsidR="003E7E41" w:rsidRPr="00C13CCA">
        <w:rPr>
          <w:rFonts w:asciiTheme="minorHAnsi" w:hAnsiTheme="minorHAnsi"/>
          <w:i/>
        </w:rPr>
        <w:t xml:space="preserve">on the Asset Management page of the Department’s website at the link: </w:t>
      </w:r>
      <w:hyperlink r:id="rId12" w:history="1">
        <w:r w:rsidR="00720CD4" w:rsidRPr="00257EEE">
          <w:rPr>
            <w:rStyle w:val="Hyperlink"/>
            <w:rFonts w:asciiTheme="minorHAnsi" w:hAnsiTheme="minorHAnsi"/>
          </w:rPr>
          <w:t>https://www.tdhca.texas.gov/post-award-activities-manual</w:t>
        </w:r>
      </w:hyperlink>
      <w:r w:rsidR="003E7E41" w:rsidRPr="00C13CCA">
        <w:rPr>
          <w:rFonts w:asciiTheme="minorHAnsi" w:hAnsiTheme="minorHAnsi"/>
          <w:i/>
        </w:rPr>
        <w:t>.</w:t>
      </w:r>
    </w:p>
    <w:p w14:paraId="1ABCCBDC" w14:textId="77777777" w:rsidR="003B522B" w:rsidRPr="002F6D9B" w:rsidRDefault="003B522B" w:rsidP="002F6D9B">
      <w:pPr>
        <w:jc w:val="both"/>
        <w:rPr>
          <w:rFonts w:asciiTheme="minorHAnsi" w:hAnsiTheme="minorHAnsi"/>
          <w:b/>
          <w:u w:val="single"/>
        </w:rPr>
      </w:pPr>
    </w:p>
    <w:p w14:paraId="57E566BA" w14:textId="77777777" w:rsidR="001356E5" w:rsidRPr="00C13CCA" w:rsidRDefault="001356E5" w:rsidP="003F7986">
      <w:pPr>
        <w:widowControl w:val="0"/>
        <w:numPr>
          <w:ilvl w:val="0"/>
          <w:numId w:val="4"/>
        </w:numPr>
        <w:ind w:left="720" w:hanging="380"/>
        <w:jc w:val="both"/>
        <w:rPr>
          <w:rFonts w:asciiTheme="minorHAnsi" w:hAnsiTheme="minorHAnsi"/>
          <w:b/>
          <w:u w:val="single"/>
        </w:rPr>
      </w:pPr>
      <w:r w:rsidRPr="00C13CCA">
        <w:rPr>
          <w:rFonts w:asciiTheme="minorHAnsi" w:hAnsiTheme="minorHAnsi"/>
          <w:b/>
          <w:u w:val="single"/>
        </w:rPr>
        <w:t xml:space="preserve">Tab </w:t>
      </w:r>
      <w:r w:rsidR="00754228" w:rsidRPr="00C13CCA">
        <w:rPr>
          <w:rFonts w:asciiTheme="minorHAnsi" w:hAnsiTheme="minorHAnsi"/>
          <w:b/>
          <w:u w:val="single"/>
        </w:rPr>
        <w:t>5</w:t>
      </w:r>
      <w:r w:rsidRPr="00C13CCA">
        <w:rPr>
          <w:rFonts w:asciiTheme="minorHAnsi" w:hAnsiTheme="minorHAnsi"/>
          <w:b/>
          <w:u w:val="single"/>
        </w:rPr>
        <w:t>: Evidence of Site Control – Deed or Contract to Purchase or Lease the Land</w:t>
      </w:r>
      <w:r w:rsidR="001A2144" w:rsidRPr="00C13CCA">
        <w:rPr>
          <w:rFonts w:asciiTheme="minorHAnsi" w:hAnsiTheme="minorHAnsi"/>
        </w:rPr>
        <w:t>.</w:t>
      </w:r>
    </w:p>
    <w:p w14:paraId="16A2C311" w14:textId="77777777" w:rsidR="009A774E" w:rsidRPr="00C13CCA" w:rsidRDefault="00AB4907" w:rsidP="00462654">
      <w:pPr>
        <w:widowControl w:val="0"/>
        <w:numPr>
          <w:ilvl w:val="0"/>
          <w:numId w:val="3"/>
        </w:numPr>
        <w:ind w:left="1440"/>
        <w:jc w:val="both"/>
        <w:rPr>
          <w:rFonts w:asciiTheme="minorHAnsi" w:hAnsiTheme="minorHAnsi"/>
        </w:rPr>
      </w:pPr>
      <w:r w:rsidRPr="00C13CCA">
        <w:rPr>
          <w:rFonts w:asciiTheme="minorHAnsi" w:hAnsiTheme="minorHAnsi"/>
        </w:rPr>
        <w:t>Complete</w:t>
      </w:r>
      <w:r w:rsidR="00462654" w:rsidRPr="00C13CCA">
        <w:rPr>
          <w:rFonts w:asciiTheme="minorHAnsi" w:hAnsiTheme="minorHAnsi"/>
        </w:rPr>
        <w:t xml:space="preserve"> the form, indicating either an actual closing date or a projected closing date.</w:t>
      </w:r>
      <w:r w:rsidR="00596B41" w:rsidRPr="00C13CCA">
        <w:rPr>
          <w:rFonts w:asciiTheme="minorHAnsi" w:hAnsiTheme="minorHAnsi"/>
        </w:rPr>
        <w:t xml:space="preserve"> </w:t>
      </w:r>
    </w:p>
    <w:p w14:paraId="7D222050" w14:textId="77777777" w:rsidR="00324B40" w:rsidRPr="00C13CCA" w:rsidRDefault="00324B40" w:rsidP="00324B40">
      <w:pPr>
        <w:widowControl w:val="0"/>
        <w:ind w:left="1440"/>
        <w:jc w:val="both"/>
        <w:rPr>
          <w:rFonts w:asciiTheme="minorHAnsi" w:hAnsiTheme="minorHAnsi"/>
        </w:rPr>
      </w:pPr>
    </w:p>
    <w:p w14:paraId="213EA5A9" w14:textId="50D19D75" w:rsidR="001356E5" w:rsidRPr="00C13CCA" w:rsidRDefault="001356E5" w:rsidP="001356E5">
      <w:pPr>
        <w:widowControl w:val="0"/>
        <w:numPr>
          <w:ilvl w:val="0"/>
          <w:numId w:val="3"/>
        </w:numPr>
        <w:ind w:left="1440"/>
        <w:jc w:val="both"/>
        <w:rPr>
          <w:rFonts w:asciiTheme="minorHAnsi" w:hAnsiTheme="minorHAnsi"/>
        </w:rPr>
      </w:pPr>
      <w:r w:rsidRPr="00C13CCA">
        <w:rPr>
          <w:rFonts w:asciiTheme="minorHAnsi" w:hAnsiTheme="minorHAnsi"/>
        </w:rPr>
        <w:t xml:space="preserve">Evidence of </w:t>
      </w:r>
      <w:r w:rsidR="00462654" w:rsidRPr="00C13CCA">
        <w:rPr>
          <w:rFonts w:asciiTheme="minorHAnsi" w:hAnsiTheme="minorHAnsi"/>
        </w:rPr>
        <w:t>site</w:t>
      </w:r>
      <w:r w:rsidRPr="00C13CCA">
        <w:rPr>
          <w:rFonts w:asciiTheme="minorHAnsi" w:hAnsiTheme="minorHAnsi"/>
        </w:rPr>
        <w:t xml:space="preserve"> control </w:t>
      </w:r>
      <w:r w:rsidR="00AB4907" w:rsidRPr="00C13CCA">
        <w:rPr>
          <w:rFonts w:asciiTheme="minorHAnsi" w:hAnsiTheme="minorHAnsi"/>
        </w:rPr>
        <w:t>consistent with 10 TAC §</w:t>
      </w:r>
      <w:r w:rsidR="00803608" w:rsidRPr="00C13CCA">
        <w:rPr>
          <w:rFonts w:asciiTheme="minorHAnsi" w:hAnsiTheme="minorHAnsi"/>
        </w:rPr>
        <w:t>11</w:t>
      </w:r>
      <w:r w:rsidR="001047CA">
        <w:rPr>
          <w:rFonts w:asciiTheme="minorHAnsi" w:hAnsiTheme="minorHAnsi"/>
        </w:rPr>
        <w:t>.204(9</w:t>
      </w:r>
      <w:r w:rsidR="00AB4907" w:rsidRPr="00C13CCA">
        <w:rPr>
          <w:rFonts w:asciiTheme="minorHAnsi" w:hAnsiTheme="minorHAnsi"/>
        </w:rPr>
        <w:t xml:space="preserve">) </w:t>
      </w:r>
      <w:r w:rsidRPr="00C13CCA">
        <w:rPr>
          <w:rFonts w:asciiTheme="minorHAnsi" w:hAnsiTheme="minorHAnsi"/>
        </w:rPr>
        <w:t>must be included in the carryover submission package</w:t>
      </w:r>
      <w:r w:rsidR="00AB4907" w:rsidRPr="00C13CCA">
        <w:rPr>
          <w:rFonts w:asciiTheme="minorHAnsi" w:hAnsiTheme="minorHAnsi"/>
        </w:rPr>
        <w:t>.</w:t>
      </w:r>
      <w:r w:rsidRPr="00C13CCA">
        <w:rPr>
          <w:rFonts w:asciiTheme="minorHAnsi" w:hAnsiTheme="minorHAnsi"/>
        </w:rPr>
        <w:t xml:space="preserve"> The evidence must be for the same site proposed in the </w:t>
      </w:r>
      <w:proofErr w:type="gramStart"/>
      <w:r w:rsidRPr="00C13CCA">
        <w:rPr>
          <w:rFonts w:asciiTheme="minorHAnsi" w:hAnsiTheme="minorHAnsi"/>
        </w:rPr>
        <w:t>application, unless</w:t>
      </w:r>
      <w:proofErr w:type="gramEnd"/>
      <w:r w:rsidRPr="00C13CCA">
        <w:rPr>
          <w:rFonts w:asciiTheme="minorHAnsi" w:hAnsiTheme="minorHAnsi"/>
        </w:rPr>
        <w:t xml:space="preserve"> an amendment </w:t>
      </w:r>
      <w:r w:rsidR="00087148" w:rsidRPr="00C13CCA">
        <w:rPr>
          <w:rFonts w:asciiTheme="minorHAnsi" w:hAnsiTheme="minorHAnsi"/>
        </w:rPr>
        <w:t>of</w:t>
      </w:r>
      <w:r w:rsidRPr="00C13CCA">
        <w:rPr>
          <w:rFonts w:asciiTheme="minorHAnsi" w:hAnsiTheme="minorHAnsi"/>
        </w:rPr>
        <w:t xml:space="preserve"> the </w:t>
      </w:r>
      <w:r w:rsidR="00462654" w:rsidRPr="00C13CCA">
        <w:rPr>
          <w:rFonts w:asciiTheme="minorHAnsi" w:hAnsiTheme="minorHAnsi"/>
        </w:rPr>
        <w:t>site</w:t>
      </w:r>
      <w:r w:rsidRPr="00C13CCA">
        <w:rPr>
          <w:rFonts w:asciiTheme="minorHAnsi" w:hAnsiTheme="minorHAnsi"/>
        </w:rPr>
        <w:t xml:space="preserve"> has been approved by the </w:t>
      </w:r>
      <w:r w:rsidR="002C3D03" w:rsidRPr="00C13CCA">
        <w:rPr>
          <w:rFonts w:asciiTheme="minorHAnsi" w:hAnsiTheme="minorHAnsi"/>
        </w:rPr>
        <w:t xml:space="preserve">Department or by the </w:t>
      </w:r>
      <w:r w:rsidRPr="00C13CCA">
        <w:rPr>
          <w:rFonts w:asciiTheme="minorHAnsi" w:hAnsiTheme="minorHAnsi"/>
        </w:rPr>
        <w:t>Board</w:t>
      </w:r>
      <w:r w:rsidR="00EA022F" w:rsidRPr="00C13CCA">
        <w:rPr>
          <w:rFonts w:asciiTheme="minorHAnsi" w:hAnsiTheme="minorHAnsi"/>
        </w:rPr>
        <w:t>. In addition,</w:t>
      </w:r>
      <w:r w:rsidR="00FC6C8B" w:rsidRPr="00C13CCA">
        <w:rPr>
          <w:rFonts w:asciiTheme="minorHAnsi" w:hAnsiTheme="minorHAnsi"/>
        </w:rPr>
        <w:t xml:space="preserve"> the evidence </w:t>
      </w:r>
      <w:r w:rsidR="00EA022F" w:rsidRPr="00C13CCA">
        <w:rPr>
          <w:rFonts w:asciiTheme="minorHAnsi" w:hAnsiTheme="minorHAnsi"/>
        </w:rPr>
        <w:t>must</w:t>
      </w:r>
      <w:r w:rsidR="00FC6C8B" w:rsidRPr="00C13CCA">
        <w:rPr>
          <w:rFonts w:asciiTheme="minorHAnsi" w:hAnsiTheme="minorHAnsi"/>
        </w:rPr>
        <w:t xml:space="preserve"> show that control is already in place and will remain in place until a projected closing date</w:t>
      </w:r>
      <w:r w:rsidR="0013234E" w:rsidRPr="00C13CCA">
        <w:rPr>
          <w:rFonts w:asciiTheme="minorHAnsi" w:hAnsiTheme="minorHAnsi"/>
        </w:rPr>
        <w:t xml:space="preserve"> or </w:t>
      </w:r>
      <w:r w:rsidR="002C3D03" w:rsidRPr="00C13CCA">
        <w:rPr>
          <w:rFonts w:asciiTheme="minorHAnsi" w:hAnsiTheme="minorHAnsi"/>
        </w:rPr>
        <w:t xml:space="preserve">the </w:t>
      </w:r>
      <w:r w:rsidR="0013234E" w:rsidRPr="00C13CCA">
        <w:rPr>
          <w:rFonts w:asciiTheme="minorHAnsi" w:hAnsiTheme="minorHAnsi"/>
        </w:rPr>
        <w:t>10% Test, whichever is earlier</w:t>
      </w:r>
      <w:r w:rsidR="009059E8" w:rsidRPr="00C13CCA">
        <w:rPr>
          <w:rFonts w:asciiTheme="minorHAnsi" w:hAnsiTheme="minorHAnsi"/>
        </w:rPr>
        <w:t xml:space="preserve"> as stated in </w:t>
      </w:r>
      <w:r w:rsidR="00AB4907" w:rsidRPr="00C13CCA">
        <w:rPr>
          <w:rFonts w:asciiTheme="minorHAnsi" w:hAnsiTheme="minorHAnsi"/>
        </w:rPr>
        <w:t xml:space="preserve">10 TAC </w:t>
      </w:r>
      <w:r w:rsidR="009059E8" w:rsidRPr="00C13CCA">
        <w:rPr>
          <w:rFonts w:asciiTheme="minorHAnsi" w:hAnsiTheme="minorHAnsi"/>
        </w:rPr>
        <w:t>§</w:t>
      </w:r>
      <w:r w:rsidR="00642D39">
        <w:rPr>
          <w:rFonts w:asciiTheme="minorHAnsi" w:hAnsiTheme="minorHAnsi"/>
        </w:rPr>
        <w:t>11.907</w:t>
      </w:r>
      <w:r w:rsidR="009059E8" w:rsidRPr="00C13CCA">
        <w:rPr>
          <w:rFonts w:asciiTheme="minorHAnsi" w:hAnsiTheme="minorHAnsi"/>
        </w:rPr>
        <w:t>(3).</w:t>
      </w:r>
    </w:p>
    <w:p w14:paraId="7B65FCF6" w14:textId="77777777" w:rsidR="00324B40" w:rsidRPr="00C13CCA" w:rsidRDefault="00324B40" w:rsidP="00324B40">
      <w:pPr>
        <w:widowControl w:val="0"/>
        <w:ind w:left="1440"/>
        <w:jc w:val="both"/>
        <w:rPr>
          <w:rFonts w:asciiTheme="minorHAnsi" w:hAnsiTheme="minorHAnsi"/>
        </w:rPr>
      </w:pPr>
    </w:p>
    <w:p w14:paraId="12A66EE4" w14:textId="074692B7" w:rsidR="009059E8" w:rsidRPr="00C13CCA" w:rsidRDefault="009059E8" w:rsidP="001356E5">
      <w:pPr>
        <w:widowControl w:val="0"/>
        <w:numPr>
          <w:ilvl w:val="0"/>
          <w:numId w:val="3"/>
        </w:numPr>
        <w:ind w:left="1440"/>
        <w:jc w:val="both"/>
        <w:rPr>
          <w:rFonts w:asciiTheme="minorHAnsi" w:hAnsiTheme="minorHAnsi"/>
        </w:rPr>
      </w:pPr>
      <w:r w:rsidRPr="00C13CCA">
        <w:rPr>
          <w:rFonts w:asciiTheme="minorHAnsi" w:hAnsiTheme="minorHAnsi"/>
        </w:rPr>
        <w:t xml:space="preserve">Evidence </w:t>
      </w:r>
      <w:r w:rsidR="00C84B65" w:rsidRPr="00C13CCA">
        <w:rPr>
          <w:rFonts w:asciiTheme="minorHAnsi" w:hAnsiTheme="minorHAnsi"/>
        </w:rPr>
        <w:t>should</w:t>
      </w:r>
      <w:r w:rsidRPr="00C13CCA">
        <w:rPr>
          <w:rFonts w:asciiTheme="minorHAnsi" w:hAnsiTheme="minorHAnsi"/>
        </w:rPr>
        <w:t xml:space="preserve"> </w:t>
      </w:r>
      <w:r w:rsidR="003D14BD" w:rsidRPr="00C13CCA">
        <w:rPr>
          <w:rFonts w:asciiTheme="minorHAnsi" w:hAnsiTheme="minorHAnsi"/>
        </w:rPr>
        <w:t xml:space="preserve">be submitted to </w:t>
      </w:r>
      <w:r w:rsidR="00C84B65" w:rsidRPr="00C13CCA">
        <w:rPr>
          <w:rFonts w:asciiTheme="minorHAnsi" w:hAnsiTheme="minorHAnsi"/>
        </w:rPr>
        <w:t xml:space="preserve">show </w:t>
      </w:r>
      <w:r w:rsidR="00810E16" w:rsidRPr="00C13CCA">
        <w:rPr>
          <w:rFonts w:asciiTheme="minorHAnsi" w:hAnsiTheme="minorHAnsi"/>
        </w:rPr>
        <w:t xml:space="preserve">the ability to retain </w:t>
      </w:r>
      <w:r w:rsidR="00C84B65" w:rsidRPr="00C13CCA">
        <w:rPr>
          <w:rFonts w:asciiTheme="minorHAnsi" w:hAnsiTheme="minorHAnsi"/>
        </w:rPr>
        <w:t xml:space="preserve">site control through January 1, </w:t>
      </w:r>
      <w:r w:rsidR="005335EF" w:rsidRPr="00E56FE8">
        <w:rPr>
          <w:rFonts w:asciiTheme="minorHAnsi" w:hAnsiTheme="minorHAnsi"/>
        </w:rPr>
        <w:t>202</w:t>
      </w:r>
      <w:r w:rsidR="003B4B8D" w:rsidRPr="00E56FE8">
        <w:rPr>
          <w:rFonts w:asciiTheme="minorHAnsi" w:hAnsiTheme="minorHAnsi"/>
        </w:rPr>
        <w:t>6</w:t>
      </w:r>
      <w:r w:rsidR="00BC3CE1" w:rsidRPr="00C13CCA">
        <w:rPr>
          <w:rFonts w:asciiTheme="minorHAnsi" w:hAnsiTheme="minorHAnsi"/>
        </w:rPr>
        <w:t>,</w:t>
      </w:r>
      <w:r w:rsidR="009E4033" w:rsidRPr="00C13CCA">
        <w:rPr>
          <w:rFonts w:asciiTheme="minorHAnsi" w:hAnsiTheme="minorHAnsi"/>
        </w:rPr>
        <w:t xml:space="preserve"> </w:t>
      </w:r>
      <w:r w:rsidR="00E2248C" w:rsidRPr="00C13CCA">
        <w:rPr>
          <w:rFonts w:asciiTheme="minorHAnsi" w:hAnsiTheme="minorHAnsi"/>
        </w:rPr>
        <w:t xml:space="preserve">or </w:t>
      </w:r>
      <w:r w:rsidR="002C3D03" w:rsidRPr="00C13CCA">
        <w:rPr>
          <w:rFonts w:asciiTheme="minorHAnsi" w:hAnsiTheme="minorHAnsi"/>
        </w:rPr>
        <w:t xml:space="preserve">to closing if </w:t>
      </w:r>
      <w:r w:rsidR="00E2248C" w:rsidRPr="00C13CCA">
        <w:rPr>
          <w:rFonts w:asciiTheme="minorHAnsi" w:hAnsiTheme="minorHAnsi"/>
        </w:rPr>
        <w:t>closing will occur before this date</w:t>
      </w:r>
      <w:r w:rsidR="00C84B65" w:rsidRPr="00C13CCA">
        <w:rPr>
          <w:rFonts w:asciiTheme="minorHAnsi" w:hAnsiTheme="minorHAnsi"/>
        </w:rPr>
        <w:t xml:space="preserve">. Submit an </w:t>
      </w:r>
      <w:r w:rsidR="002C3D03" w:rsidRPr="00C13CCA">
        <w:rPr>
          <w:rFonts w:asciiTheme="minorHAnsi" w:hAnsiTheme="minorHAnsi"/>
        </w:rPr>
        <w:t xml:space="preserve">executed </w:t>
      </w:r>
      <w:r w:rsidR="00C84B65" w:rsidRPr="00C13CCA">
        <w:rPr>
          <w:rFonts w:asciiTheme="minorHAnsi" w:hAnsiTheme="minorHAnsi"/>
        </w:rPr>
        <w:t>extension to the contract</w:t>
      </w:r>
      <w:r w:rsidR="003C6F88">
        <w:rPr>
          <w:rFonts w:asciiTheme="minorHAnsi" w:hAnsiTheme="minorHAnsi"/>
        </w:rPr>
        <w:t>, closing statement,</w:t>
      </w:r>
      <w:r w:rsidR="00C84B65" w:rsidRPr="00C13CCA">
        <w:rPr>
          <w:rFonts w:asciiTheme="minorHAnsi" w:hAnsiTheme="minorHAnsi"/>
        </w:rPr>
        <w:t xml:space="preserve"> or deed to meet this </w:t>
      </w:r>
      <w:r w:rsidR="005335EF">
        <w:rPr>
          <w:rFonts w:asciiTheme="minorHAnsi" w:hAnsiTheme="minorHAnsi"/>
        </w:rPr>
        <w:t>requirement</w:t>
      </w:r>
      <w:r w:rsidR="00785A39" w:rsidRPr="00C13CCA">
        <w:rPr>
          <w:rFonts w:asciiTheme="minorHAnsi" w:hAnsiTheme="minorHAnsi"/>
        </w:rPr>
        <w:t>, as applicable</w:t>
      </w:r>
      <w:r w:rsidR="00C84B65" w:rsidRPr="00C13CCA">
        <w:rPr>
          <w:rFonts w:asciiTheme="minorHAnsi" w:hAnsiTheme="minorHAnsi"/>
        </w:rPr>
        <w:t>.</w:t>
      </w:r>
    </w:p>
    <w:p w14:paraId="15F8EEAE" w14:textId="77777777" w:rsidR="003B522B" w:rsidRPr="002F6D9B" w:rsidRDefault="003B522B" w:rsidP="002F6D9B">
      <w:pPr>
        <w:jc w:val="both"/>
        <w:rPr>
          <w:rFonts w:asciiTheme="minorHAnsi" w:hAnsiTheme="minorHAnsi"/>
          <w:b/>
          <w:u w:val="single"/>
        </w:rPr>
      </w:pPr>
    </w:p>
    <w:p w14:paraId="09E9587D" w14:textId="770ABAFA" w:rsidR="0089576E" w:rsidRPr="00C13CCA" w:rsidRDefault="003B522B" w:rsidP="003B522B">
      <w:pPr>
        <w:numPr>
          <w:ilvl w:val="0"/>
          <w:numId w:val="4"/>
        </w:numPr>
        <w:ind w:left="720" w:hanging="380"/>
        <w:jc w:val="both"/>
        <w:rPr>
          <w:rFonts w:asciiTheme="minorHAnsi" w:hAnsiTheme="minorHAnsi"/>
        </w:rPr>
      </w:pPr>
      <w:r w:rsidRPr="00C13CCA">
        <w:rPr>
          <w:rFonts w:asciiTheme="minorHAnsi" w:hAnsiTheme="minorHAnsi"/>
          <w:b/>
          <w:u w:val="single"/>
        </w:rPr>
        <w:t xml:space="preserve">Tab </w:t>
      </w:r>
      <w:r w:rsidR="002C3D03" w:rsidRPr="00C13CCA">
        <w:rPr>
          <w:rFonts w:asciiTheme="minorHAnsi" w:hAnsiTheme="minorHAnsi"/>
          <w:b/>
          <w:u w:val="single"/>
        </w:rPr>
        <w:t>6</w:t>
      </w:r>
      <w:r w:rsidRPr="00C13CCA">
        <w:rPr>
          <w:rFonts w:asciiTheme="minorHAnsi" w:hAnsiTheme="minorHAnsi"/>
          <w:b/>
          <w:u w:val="single"/>
        </w:rPr>
        <w:t xml:space="preserve">: </w:t>
      </w:r>
      <w:r w:rsidR="0042598B" w:rsidRPr="00C13CCA">
        <w:rPr>
          <w:rFonts w:asciiTheme="minorHAnsi" w:hAnsiTheme="minorHAnsi"/>
          <w:b/>
          <w:u w:val="single"/>
        </w:rPr>
        <w:t>Resolution of Conditions of the Commitment Notice</w:t>
      </w:r>
      <w:r w:rsidR="00752F7E">
        <w:rPr>
          <w:rFonts w:asciiTheme="minorHAnsi" w:hAnsiTheme="minorHAnsi"/>
          <w:b/>
          <w:u w:val="single"/>
        </w:rPr>
        <w:t xml:space="preserve"> and/or Carryover</w:t>
      </w:r>
      <w:r w:rsidR="00345EF6" w:rsidRPr="00C13CCA">
        <w:rPr>
          <w:rFonts w:asciiTheme="minorHAnsi" w:hAnsiTheme="minorHAnsi"/>
        </w:rPr>
        <w:t xml:space="preserve">. </w:t>
      </w:r>
    </w:p>
    <w:p w14:paraId="57F46DA1" w14:textId="00FA65F4" w:rsidR="0042598B" w:rsidRPr="00C13CCA" w:rsidRDefault="00AB4907" w:rsidP="0089576E">
      <w:pPr>
        <w:numPr>
          <w:ilvl w:val="0"/>
          <w:numId w:val="16"/>
        </w:numPr>
        <w:ind w:left="1440"/>
        <w:jc w:val="both"/>
        <w:rPr>
          <w:rFonts w:asciiTheme="minorHAnsi" w:hAnsiTheme="minorHAnsi"/>
        </w:rPr>
      </w:pPr>
      <w:r w:rsidRPr="00C13CCA">
        <w:rPr>
          <w:rFonts w:asciiTheme="minorHAnsi" w:hAnsiTheme="minorHAnsi"/>
        </w:rPr>
        <w:t xml:space="preserve">Documentation that the </w:t>
      </w:r>
      <w:r w:rsidR="008344AA" w:rsidRPr="00C13CCA">
        <w:rPr>
          <w:rFonts w:asciiTheme="minorHAnsi" w:hAnsiTheme="minorHAnsi"/>
        </w:rPr>
        <w:t xml:space="preserve">conditions </w:t>
      </w:r>
      <w:r w:rsidR="004406BE" w:rsidRPr="00C13CCA">
        <w:rPr>
          <w:rFonts w:asciiTheme="minorHAnsi" w:hAnsiTheme="minorHAnsi"/>
        </w:rPr>
        <w:t>stated in the Commitment Notice</w:t>
      </w:r>
      <w:r w:rsidR="00752F7E">
        <w:rPr>
          <w:rFonts w:asciiTheme="minorHAnsi" w:hAnsiTheme="minorHAnsi"/>
        </w:rPr>
        <w:t xml:space="preserve"> and/or Carryover</w:t>
      </w:r>
      <w:r w:rsidR="004406BE" w:rsidRPr="00C13CCA">
        <w:rPr>
          <w:rFonts w:asciiTheme="minorHAnsi" w:hAnsiTheme="minorHAnsi"/>
        </w:rPr>
        <w:t xml:space="preserve"> </w:t>
      </w:r>
      <w:r w:rsidR="00E9637C" w:rsidRPr="00C13CCA">
        <w:rPr>
          <w:rFonts w:asciiTheme="minorHAnsi" w:hAnsiTheme="minorHAnsi"/>
        </w:rPr>
        <w:t>have been satisfied</w:t>
      </w:r>
      <w:r w:rsidR="0042598B" w:rsidRPr="00C13CCA">
        <w:rPr>
          <w:rFonts w:asciiTheme="minorHAnsi" w:hAnsiTheme="minorHAnsi"/>
        </w:rPr>
        <w:t xml:space="preserve"> must be pr</w:t>
      </w:r>
      <w:r w:rsidR="00BD51F9" w:rsidRPr="00C13CCA">
        <w:rPr>
          <w:rFonts w:asciiTheme="minorHAnsi" w:hAnsiTheme="minorHAnsi"/>
        </w:rPr>
        <w:t>ovided</w:t>
      </w:r>
      <w:r w:rsidR="0042598B" w:rsidRPr="00C13CCA">
        <w:rPr>
          <w:rFonts w:asciiTheme="minorHAnsi" w:hAnsiTheme="minorHAnsi"/>
        </w:rPr>
        <w:t xml:space="preserve"> behind th</w:t>
      </w:r>
      <w:r w:rsidR="00BD51F9" w:rsidRPr="00C13CCA">
        <w:rPr>
          <w:rFonts w:asciiTheme="minorHAnsi" w:hAnsiTheme="minorHAnsi"/>
        </w:rPr>
        <w:t>is</w:t>
      </w:r>
      <w:r w:rsidR="0042598B" w:rsidRPr="00C13CCA">
        <w:rPr>
          <w:rFonts w:asciiTheme="minorHAnsi" w:hAnsiTheme="minorHAnsi"/>
        </w:rPr>
        <w:t xml:space="preserve"> </w:t>
      </w:r>
      <w:r w:rsidR="00BD51F9" w:rsidRPr="00C13CCA">
        <w:rPr>
          <w:rFonts w:asciiTheme="minorHAnsi" w:hAnsiTheme="minorHAnsi"/>
        </w:rPr>
        <w:t>t</w:t>
      </w:r>
      <w:r w:rsidR="0042598B" w:rsidRPr="00C13CCA">
        <w:rPr>
          <w:rFonts w:asciiTheme="minorHAnsi" w:hAnsiTheme="minorHAnsi"/>
        </w:rPr>
        <w:t>ab. For each condition, include a narrative explaining how the documentation submitted satisfies the condition</w:t>
      </w:r>
      <w:r w:rsidR="0090051F" w:rsidRPr="00C13CCA">
        <w:rPr>
          <w:rFonts w:asciiTheme="minorHAnsi" w:hAnsiTheme="minorHAnsi"/>
        </w:rPr>
        <w:t xml:space="preserve"> – please include this narrative no matter how obvious the explanation seems</w:t>
      </w:r>
      <w:r w:rsidR="0042598B" w:rsidRPr="00C13CCA">
        <w:rPr>
          <w:rFonts w:asciiTheme="minorHAnsi" w:hAnsiTheme="minorHAnsi"/>
        </w:rPr>
        <w:t>.</w:t>
      </w:r>
      <w:r w:rsidR="004406BE" w:rsidRPr="00C13CCA">
        <w:rPr>
          <w:rFonts w:asciiTheme="minorHAnsi" w:hAnsiTheme="minorHAnsi"/>
        </w:rPr>
        <w:t xml:space="preserve"> </w:t>
      </w:r>
      <w:r w:rsidR="0090051F" w:rsidRPr="00C13CCA">
        <w:rPr>
          <w:rFonts w:asciiTheme="minorHAnsi" w:hAnsiTheme="minorHAnsi"/>
        </w:rPr>
        <w:t xml:space="preserve">If documentation to clear a condition must be submitted to the Real Estate Analysis Division or another division of the Department, </w:t>
      </w:r>
      <w:r w:rsidR="00E9637C" w:rsidRPr="00C13CCA">
        <w:rPr>
          <w:rFonts w:asciiTheme="minorHAnsi" w:hAnsiTheme="minorHAnsi"/>
        </w:rPr>
        <w:t xml:space="preserve">include </w:t>
      </w:r>
      <w:r w:rsidR="0090051F" w:rsidRPr="00C13CCA">
        <w:rPr>
          <w:rFonts w:asciiTheme="minorHAnsi" w:hAnsiTheme="minorHAnsi"/>
        </w:rPr>
        <w:t>confirmation from the applicable division that th</w:t>
      </w:r>
      <w:r w:rsidR="00E9637C" w:rsidRPr="00C13CCA">
        <w:rPr>
          <w:rFonts w:asciiTheme="minorHAnsi" w:hAnsiTheme="minorHAnsi"/>
        </w:rPr>
        <w:t xml:space="preserve">e documentation has been submitted </w:t>
      </w:r>
      <w:r w:rsidR="00752F7E">
        <w:rPr>
          <w:rFonts w:asciiTheme="minorHAnsi" w:hAnsiTheme="minorHAnsi"/>
        </w:rPr>
        <w:t>and/</w:t>
      </w:r>
      <w:r w:rsidR="0090051F" w:rsidRPr="00C13CCA">
        <w:rPr>
          <w:rFonts w:asciiTheme="minorHAnsi" w:hAnsiTheme="minorHAnsi"/>
        </w:rPr>
        <w:t>or that the condition has been cleared.</w:t>
      </w:r>
    </w:p>
    <w:p w14:paraId="571E987F" w14:textId="77777777" w:rsidR="0042598B" w:rsidRPr="00C13CCA" w:rsidRDefault="0042598B" w:rsidP="003B522B">
      <w:pPr>
        <w:jc w:val="both"/>
        <w:rPr>
          <w:rFonts w:asciiTheme="minorHAnsi" w:hAnsiTheme="minorHAnsi"/>
          <w:b/>
          <w:u w:val="single"/>
        </w:rPr>
      </w:pPr>
    </w:p>
    <w:p w14:paraId="4BCD2643" w14:textId="77777777" w:rsidR="00B729B0" w:rsidRPr="00C13CCA" w:rsidRDefault="00B729B0" w:rsidP="003F7986">
      <w:pPr>
        <w:numPr>
          <w:ilvl w:val="0"/>
          <w:numId w:val="11"/>
        </w:numPr>
        <w:ind w:left="720"/>
        <w:jc w:val="both"/>
        <w:rPr>
          <w:rFonts w:asciiTheme="minorHAnsi" w:hAnsiTheme="minorHAnsi"/>
        </w:rPr>
      </w:pPr>
      <w:r w:rsidRPr="00C13CCA">
        <w:rPr>
          <w:rFonts w:asciiTheme="minorHAnsi" w:hAnsiTheme="minorHAnsi"/>
          <w:b/>
          <w:u w:val="single"/>
        </w:rPr>
        <w:t xml:space="preserve">Tab </w:t>
      </w:r>
      <w:r w:rsidR="0090051F" w:rsidRPr="00C13CCA">
        <w:rPr>
          <w:rFonts w:asciiTheme="minorHAnsi" w:hAnsiTheme="minorHAnsi"/>
          <w:b/>
          <w:u w:val="single"/>
        </w:rPr>
        <w:t>7</w:t>
      </w:r>
      <w:r w:rsidRPr="00C13CCA">
        <w:rPr>
          <w:rFonts w:asciiTheme="minorHAnsi" w:hAnsiTheme="minorHAnsi"/>
          <w:b/>
          <w:u w:val="single"/>
        </w:rPr>
        <w:t xml:space="preserve">: Documentation </w:t>
      </w:r>
      <w:r w:rsidR="00E102D1" w:rsidRPr="00C13CCA">
        <w:rPr>
          <w:rFonts w:asciiTheme="minorHAnsi" w:hAnsiTheme="minorHAnsi"/>
          <w:b/>
          <w:u w:val="single"/>
        </w:rPr>
        <w:t>of Changes</w:t>
      </w:r>
      <w:r w:rsidR="00785A39" w:rsidRPr="00C13CCA">
        <w:rPr>
          <w:rFonts w:asciiTheme="minorHAnsi" w:hAnsiTheme="minorHAnsi"/>
        </w:rPr>
        <w:t>.</w:t>
      </w:r>
    </w:p>
    <w:p w14:paraId="1841C849" w14:textId="502F3517" w:rsidR="0006293B" w:rsidRPr="00C13CCA" w:rsidRDefault="005F1144" w:rsidP="00785A39">
      <w:pPr>
        <w:numPr>
          <w:ilvl w:val="0"/>
          <w:numId w:val="12"/>
        </w:numPr>
        <w:ind w:left="1440"/>
        <w:jc w:val="both"/>
        <w:rPr>
          <w:rFonts w:asciiTheme="minorHAnsi" w:hAnsiTheme="minorHAnsi"/>
        </w:rPr>
      </w:pPr>
      <w:r w:rsidRPr="00C13CCA">
        <w:rPr>
          <w:rFonts w:asciiTheme="minorHAnsi" w:hAnsiTheme="minorHAnsi"/>
        </w:rPr>
        <w:t xml:space="preserve">Changes that </w:t>
      </w:r>
      <w:r w:rsidR="004176B7" w:rsidRPr="00C13CCA">
        <w:rPr>
          <w:rFonts w:asciiTheme="minorHAnsi" w:hAnsiTheme="minorHAnsi"/>
        </w:rPr>
        <w:t xml:space="preserve">constitute amendments of the application </w:t>
      </w:r>
      <w:r w:rsidR="008769C2" w:rsidRPr="00C13CCA">
        <w:rPr>
          <w:rFonts w:asciiTheme="minorHAnsi" w:hAnsiTheme="minorHAnsi"/>
        </w:rPr>
        <w:t xml:space="preserve">or ownership changes </w:t>
      </w:r>
      <w:r w:rsidR="004176B7" w:rsidRPr="00C13CCA">
        <w:rPr>
          <w:rFonts w:asciiTheme="minorHAnsi" w:hAnsiTheme="minorHAnsi"/>
        </w:rPr>
        <w:t xml:space="preserve">put the award in jeopardy. If changes are contemplated that </w:t>
      </w:r>
      <w:r w:rsidR="00EA6302" w:rsidRPr="00C13CCA">
        <w:rPr>
          <w:rFonts w:asciiTheme="minorHAnsi" w:hAnsiTheme="minorHAnsi"/>
        </w:rPr>
        <w:t xml:space="preserve">impact the development proposal or </w:t>
      </w:r>
      <w:r w:rsidR="00E342DA" w:rsidRPr="00C13CCA">
        <w:rPr>
          <w:rFonts w:asciiTheme="minorHAnsi" w:hAnsiTheme="minorHAnsi"/>
        </w:rPr>
        <w:t xml:space="preserve">information presented in the </w:t>
      </w:r>
      <w:r w:rsidR="00EA6302" w:rsidRPr="00C13CCA">
        <w:rPr>
          <w:rFonts w:asciiTheme="minorHAnsi" w:hAnsiTheme="minorHAnsi"/>
        </w:rPr>
        <w:t>application</w:t>
      </w:r>
      <w:r w:rsidR="008769C2" w:rsidRPr="00C13CCA">
        <w:rPr>
          <w:rFonts w:asciiTheme="minorHAnsi" w:hAnsiTheme="minorHAnsi"/>
        </w:rPr>
        <w:t>,</w:t>
      </w:r>
      <w:r w:rsidR="00EA6302" w:rsidRPr="00C13CCA">
        <w:rPr>
          <w:rFonts w:asciiTheme="minorHAnsi" w:hAnsiTheme="minorHAnsi"/>
        </w:rPr>
        <w:t xml:space="preserve"> </w:t>
      </w:r>
      <w:r w:rsidR="004176B7" w:rsidRPr="00C13CCA">
        <w:rPr>
          <w:rFonts w:asciiTheme="minorHAnsi" w:hAnsiTheme="minorHAnsi"/>
        </w:rPr>
        <w:t>see</w:t>
      </w:r>
      <w:r w:rsidR="00C07753" w:rsidRPr="00C13CCA">
        <w:rPr>
          <w:rFonts w:asciiTheme="minorHAnsi" w:hAnsiTheme="minorHAnsi"/>
        </w:rPr>
        <w:t xml:space="preserve"> Tex</w:t>
      </w:r>
      <w:r w:rsidR="00743248" w:rsidRPr="00C13CCA">
        <w:rPr>
          <w:rFonts w:asciiTheme="minorHAnsi" w:hAnsiTheme="minorHAnsi"/>
        </w:rPr>
        <w:t>.</w:t>
      </w:r>
      <w:r w:rsidR="00C07753" w:rsidRPr="00C13CCA">
        <w:rPr>
          <w:rFonts w:asciiTheme="minorHAnsi" w:hAnsiTheme="minorHAnsi"/>
        </w:rPr>
        <w:t xml:space="preserve"> Gov</w:t>
      </w:r>
      <w:r w:rsidR="00743248" w:rsidRPr="00C13CCA">
        <w:rPr>
          <w:rFonts w:asciiTheme="minorHAnsi" w:hAnsiTheme="minorHAnsi"/>
        </w:rPr>
        <w:t>'</w:t>
      </w:r>
      <w:r w:rsidR="00C07753" w:rsidRPr="00C13CCA">
        <w:rPr>
          <w:rFonts w:asciiTheme="minorHAnsi" w:hAnsiTheme="minorHAnsi"/>
        </w:rPr>
        <w:t>t Code §2306.6712</w:t>
      </w:r>
      <w:r w:rsidR="00BE009B" w:rsidRPr="00C13CCA">
        <w:rPr>
          <w:rFonts w:asciiTheme="minorHAnsi" w:hAnsiTheme="minorHAnsi"/>
        </w:rPr>
        <w:t xml:space="preserve"> and §2306.6713</w:t>
      </w:r>
      <w:r w:rsidR="004176B7" w:rsidRPr="00C13CCA">
        <w:rPr>
          <w:rFonts w:asciiTheme="minorHAnsi" w:hAnsiTheme="minorHAnsi"/>
        </w:rPr>
        <w:t xml:space="preserve">. </w:t>
      </w:r>
      <w:r w:rsidR="00731107" w:rsidRPr="00C13CCA">
        <w:rPr>
          <w:rFonts w:asciiTheme="minorHAnsi" w:hAnsiTheme="minorHAnsi"/>
        </w:rPr>
        <w:t xml:space="preserve">In the Multifamily Rules, see </w:t>
      </w:r>
      <w:r w:rsidR="00743248" w:rsidRPr="00C13CCA">
        <w:rPr>
          <w:rFonts w:asciiTheme="minorHAnsi" w:hAnsiTheme="minorHAnsi"/>
        </w:rPr>
        <w:t xml:space="preserve">10 TAC </w:t>
      </w:r>
      <w:r w:rsidR="008D597A" w:rsidRPr="00C13CCA">
        <w:rPr>
          <w:rFonts w:asciiTheme="minorHAnsi" w:hAnsiTheme="minorHAnsi"/>
        </w:rPr>
        <w:t xml:space="preserve">§10.405 </w:t>
      </w:r>
      <w:r w:rsidR="00731107" w:rsidRPr="00C13CCA">
        <w:rPr>
          <w:rFonts w:asciiTheme="minorHAnsi" w:hAnsiTheme="minorHAnsi"/>
        </w:rPr>
        <w:t xml:space="preserve">and §10.406. </w:t>
      </w:r>
      <w:r w:rsidR="00EA6302" w:rsidRPr="00C13CCA">
        <w:rPr>
          <w:rFonts w:asciiTheme="minorHAnsi" w:hAnsiTheme="minorHAnsi"/>
        </w:rPr>
        <w:t xml:space="preserve">Submit changes for the Department’s review as described </w:t>
      </w:r>
      <w:r w:rsidR="00E342DA" w:rsidRPr="00C13CCA">
        <w:rPr>
          <w:rFonts w:asciiTheme="minorHAnsi" w:hAnsiTheme="minorHAnsi"/>
        </w:rPr>
        <w:t>in the Post Award Activities Manual</w:t>
      </w:r>
      <w:r w:rsidR="00EA6302" w:rsidRPr="00C13CCA">
        <w:rPr>
          <w:rFonts w:asciiTheme="minorHAnsi" w:hAnsiTheme="minorHAnsi"/>
        </w:rPr>
        <w:t>.</w:t>
      </w:r>
      <w:r w:rsidR="001047CA">
        <w:rPr>
          <w:rFonts w:asciiTheme="minorHAnsi" w:hAnsiTheme="minorHAnsi"/>
        </w:rPr>
        <w:t xml:space="preserve"> Changes in Developments with current year awards are to be submitted to the Multifamily Finance </w:t>
      </w:r>
      <w:r w:rsidR="009E411E">
        <w:rPr>
          <w:rFonts w:asciiTheme="minorHAnsi" w:hAnsiTheme="minorHAnsi"/>
        </w:rPr>
        <w:t>Division.</w:t>
      </w:r>
    </w:p>
    <w:p w14:paraId="2EAD5A3C" w14:textId="77777777" w:rsidR="00D93FB1" w:rsidRPr="00C13CCA" w:rsidRDefault="00D93FB1" w:rsidP="00D93FB1">
      <w:pPr>
        <w:ind w:left="1440"/>
        <w:jc w:val="both"/>
        <w:rPr>
          <w:rFonts w:asciiTheme="minorHAnsi" w:hAnsiTheme="minorHAnsi"/>
        </w:rPr>
      </w:pPr>
    </w:p>
    <w:p w14:paraId="4B6B6EBC" w14:textId="4D00A2AE" w:rsidR="004A0A84" w:rsidRPr="00C13CCA" w:rsidRDefault="004A0A84" w:rsidP="00B75E99">
      <w:pPr>
        <w:numPr>
          <w:ilvl w:val="0"/>
          <w:numId w:val="12"/>
        </w:numPr>
        <w:ind w:left="1440"/>
        <w:jc w:val="both"/>
        <w:rPr>
          <w:rFonts w:asciiTheme="minorHAnsi" w:hAnsiTheme="minorHAnsi"/>
        </w:rPr>
      </w:pPr>
      <w:r w:rsidRPr="00C13CCA">
        <w:rPr>
          <w:rFonts w:asciiTheme="minorHAnsi" w:hAnsiTheme="minorHAnsi"/>
        </w:rPr>
        <w:t>Ownership change requests should be made before the carryover submission deadline</w:t>
      </w:r>
      <w:r w:rsidR="003C6F88">
        <w:rPr>
          <w:rFonts w:asciiTheme="minorHAnsi" w:hAnsiTheme="minorHAnsi"/>
        </w:rPr>
        <w:t>,</w:t>
      </w:r>
      <w:r w:rsidRPr="00C13CCA">
        <w:rPr>
          <w:rFonts w:asciiTheme="minorHAnsi" w:hAnsiTheme="minorHAnsi"/>
        </w:rPr>
        <w:t xml:space="preserve"> </w:t>
      </w:r>
      <w:r w:rsidR="00E342DA" w:rsidRPr="00C13CCA">
        <w:rPr>
          <w:rFonts w:asciiTheme="minorHAnsi" w:hAnsiTheme="minorHAnsi"/>
        </w:rPr>
        <w:t>and the letter approving the change</w:t>
      </w:r>
      <w:r w:rsidR="00236500" w:rsidRPr="00C13CCA">
        <w:rPr>
          <w:rFonts w:asciiTheme="minorHAnsi" w:hAnsiTheme="minorHAnsi"/>
        </w:rPr>
        <w:t>,</w:t>
      </w:r>
      <w:r w:rsidR="00E342DA" w:rsidRPr="00C13CCA">
        <w:rPr>
          <w:rFonts w:asciiTheme="minorHAnsi" w:hAnsiTheme="minorHAnsi"/>
        </w:rPr>
        <w:t xml:space="preserve"> </w:t>
      </w:r>
      <w:r w:rsidR="00236500" w:rsidRPr="00C13CCA">
        <w:rPr>
          <w:rFonts w:asciiTheme="minorHAnsi" w:hAnsiTheme="minorHAnsi"/>
        </w:rPr>
        <w:t xml:space="preserve">or evidence of the Department’s receipt of the </w:t>
      </w:r>
      <w:r w:rsidR="00236500" w:rsidRPr="00C13CCA">
        <w:rPr>
          <w:rFonts w:asciiTheme="minorHAnsi" w:hAnsiTheme="minorHAnsi"/>
        </w:rPr>
        <w:lastRenderedPageBreak/>
        <w:t xml:space="preserve">request, </w:t>
      </w:r>
      <w:r w:rsidR="00E342DA" w:rsidRPr="00C13CCA">
        <w:rPr>
          <w:rFonts w:asciiTheme="minorHAnsi" w:hAnsiTheme="minorHAnsi"/>
        </w:rPr>
        <w:t xml:space="preserve">should be included </w:t>
      </w:r>
      <w:r w:rsidR="004F32A0" w:rsidRPr="00C13CCA">
        <w:rPr>
          <w:rFonts w:asciiTheme="minorHAnsi" w:hAnsiTheme="minorHAnsi"/>
        </w:rPr>
        <w:t>behind</w:t>
      </w:r>
      <w:r w:rsidR="00E342DA" w:rsidRPr="00C13CCA">
        <w:rPr>
          <w:rFonts w:asciiTheme="minorHAnsi" w:hAnsiTheme="minorHAnsi"/>
        </w:rPr>
        <w:t xml:space="preserve"> Tab 7 of the carryover package</w:t>
      </w:r>
      <w:r w:rsidRPr="00C13CCA">
        <w:rPr>
          <w:rFonts w:asciiTheme="minorHAnsi" w:hAnsiTheme="minorHAnsi"/>
        </w:rPr>
        <w:t xml:space="preserve">. </w:t>
      </w:r>
      <w:r w:rsidR="00236500" w:rsidRPr="00C13CCA">
        <w:rPr>
          <w:rFonts w:asciiTheme="minorHAnsi" w:hAnsiTheme="minorHAnsi"/>
        </w:rPr>
        <w:t xml:space="preserve">Do not submit the request itself in Tab 7. </w:t>
      </w:r>
      <w:r w:rsidRPr="00C13CCA">
        <w:rPr>
          <w:rFonts w:asciiTheme="minorHAnsi" w:hAnsiTheme="minorHAnsi"/>
        </w:rPr>
        <w:t>These requests are governed by 10 TAC §10.406 (relating to Tex Gov't Code §2306.6713) and the related fees are governed by 10 TAC §</w:t>
      </w:r>
      <w:r w:rsidR="009B4EC5" w:rsidRPr="00C13CCA">
        <w:rPr>
          <w:rFonts w:asciiTheme="minorHAnsi" w:hAnsiTheme="minorHAnsi"/>
        </w:rPr>
        <w:t>11</w:t>
      </w:r>
      <w:r w:rsidRPr="00C13CCA">
        <w:rPr>
          <w:rFonts w:asciiTheme="minorHAnsi" w:hAnsiTheme="minorHAnsi"/>
        </w:rPr>
        <w:t>.901(</w:t>
      </w:r>
      <w:r w:rsidR="009B4EC5" w:rsidRPr="00C13CCA">
        <w:rPr>
          <w:rFonts w:asciiTheme="minorHAnsi" w:hAnsiTheme="minorHAnsi"/>
        </w:rPr>
        <w:t>14</w:t>
      </w:r>
      <w:r w:rsidRPr="00C13CCA">
        <w:rPr>
          <w:rFonts w:asciiTheme="minorHAnsi" w:hAnsiTheme="minorHAnsi"/>
        </w:rPr>
        <w:t>). Consult</w:t>
      </w:r>
      <w:r w:rsidR="005B1C38" w:rsidRPr="00C13CCA">
        <w:rPr>
          <w:rFonts w:asciiTheme="minorHAnsi" w:hAnsiTheme="minorHAnsi"/>
        </w:rPr>
        <w:t xml:space="preserve"> the Post </w:t>
      </w:r>
      <w:r w:rsidR="006A04F5">
        <w:rPr>
          <w:rFonts w:asciiTheme="minorHAnsi" w:hAnsiTheme="minorHAnsi"/>
        </w:rPr>
        <w:t>Award</w:t>
      </w:r>
      <w:r w:rsidR="006A04F5" w:rsidRPr="00C13CCA">
        <w:rPr>
          <w:rFonts w:asciiTheme="minorHAnsi" w:hAnsiTheme="minorHAnsi"/>
        </w:rPr>
        <w:t xml:space="preserve"> </w:t>
      </w:r>
      <w:r w:rsidR="005B1C38" w:rsidRPr="00C13CCA">
        <w:rPr>
          <w:rFonts w:asciiTheme="minorHAnsi" w:hAnsiTheme="minorHAnsi"/>
        </w:rPr>
        <w:t>Activities Manual</w:t>
      </w:r>
      <w:r w:rsidR="001268E2">
        <w:rPr>
          <w:rFonts w:asciiTheme="minorHAnsi" w:hAnsiTheme="minorHAnsi"/>
        </w:rPr>
        <w:t xml:space="preserve"> of the Asset Management Division</w:t>
      </w:r>
      <w:r w:rsidR="005B1C38" w:rsidRPr="00C13CCA">
        <w:rPr>
          <w:rFonts w:asciiTheme="minorHAnsi" w:hAnsiTheme="minorHAnsi"/>
        </w:rPr>
        <w:t xml:space="preserve"> at</w:t>
      </w:r>
      <w:r w:rsidRPr="00C13CCA">
        <w:rPr>
          <w:rFonts w:asciiTheme="minorHAnsi" w:hAnsiTheme="minorHAnsi"/>
        </w:rPr>
        <w:t xml:space="preserve"> </w:t>
      </w:r>
      <w:hyperlink r:id="rId13" w:history="1">
        <w:r w:rsidR="00720CD4" w:rsidRPr="00720CD4">
          <w:rPr>
            <w:rStyle w:val="Hyperlink"/>
            <w:rFonts w:asciiTheme="minorHAnsi" w:hAnsiTheme="minorHAnsi"/>
          </w:rPr>
          <w:t>https://www.tdhca.texas.gov/post-award-activities-manual</w:t>
        </w:r>
      </w:hyperlink>
      <w:r w:rsidR="00720CD4">
        <w:rPr>
          <w:rFonts w:asciiTheme="minorHAnsi" w:hAnsiTheme="minorHAnsi"/>
        </w:rPr>
        <w:t xml:space="preserve"> </w:t>
      </w:r>
      <w:r w:rsidRPr="00C13CCA">
        <w:rPr>
          <w:rFonts w:asciiTheme="minorHAnsi" w:hAnsiTheme="minorHAnsi"/>
        </w:rPr>
        <w:t xml:space="preserve">for instructions on submitting such a request. </w:t>
      </w:r>
      <w:r w:rsidR="00E342DA" w:rsidRPr="00C13CCA">
        <w:rPr>
          <w:rFonts w:asciiTheme="minorHAnsi" w:hAnsiTheme="minorHAnsi"/>
        </w:rPr>
        <w:t>C</w:t>
      </w:r>
      <w:r w:rsidRPr="00C13CCA">
        <w:rPr>
          <w:rFonts w:asciiTheme="minorHAnsi" w:hAnsiTheme="minorHAnsi"/>
        </w:rPr>
        <w:t>hanges in the Developer, Guarantor or person used to meet the experience requirement are amendments</w:t>
      </w:r>
      <w:r w:rsidR="00505F99">
        <w:rPr>
          <w:rFonts w:asciiTheme="minorHAnsi" w:hAnsiTheme="minorHAnsi"/>
        </w:rPr>
        <w:t>,</w:t>
      </w:r>
      <w:r w:rsidRPr="00C13CCA">
        <w:rPr>
          <w:rFonts w:asciiTheme="minorHAnsi" w:hAnsiTheme="minorHAnsi"/>
        </w:rPr>
        <w:t xml:space="preserve"> </w:t>
      </w:r>
      <w:r w:rsidR="003C6F88">
        <w:rPr>
          <w:rFonts w:asciiTheme="minorHAnsi" w:hAnsiTheme="minorHAnsi"/>
        </w:rPr>
        <w:t xml:space="preserve">rather than ownership changes, </w:t>
      </w:r>
      <w:r w:rsidRPr="00C13CCA">
        <w:rPr>
          <w:rFonts w:asciiTheme="minorHAnsi" w:hAnsiTheme="minorHAnsi"/>
        </w:rPr>
        <w:t>as discussed below.</w:t>
      </w:r>
    </w:p>
    <w:p w14:paraId="73841250" w14:textId="77777777" w:rsidR="00D93FB1" w:rsidRPr="00C13CCA" w:rsidRDefault="00D93FB1" w:rsidP="00D93FB1">
      <w:pPr>
        <w:ind w:left="1440"/>
        <w:jc w:val="both"/>
        <w:rPr>
          <w:rFonts w:asciiTheme="minorHAnsi" w:hAnsiTheme="minorHAnsi"/>
        </w:rPr>
      </w:pPr>
    </w:p>
    <w:p w14:paraId="2CBF761C" w14:textId="71E73F71" w:rsidR="00D93FB1" w:rsidRPr="00C13CCA" w:rsidRDefault="004A0A84" w:rsidP="004A0A84">
      <w:pPr>
        <w:numPr>
          <w:ilvl w:val="0"/>
          <w:numId w:val="12"/>
        </w:numPr>
        <w:ind w:left="1440"/>
        <w:jc w:val="both"/>
        <w:rPr>
          <w:rFonts w:asciiTheme="minorHAnsi" w:hAnsiTheme="minorHAnsi"/>
        </w:rPr>
      </w:pPr>
      <w:r w:rsidRPr="00C13CCA">
        <w:rPr>
          <w:rFonts w:asciiTheme="minorHAnsi" w:hAnsiTheme="minorHAnsi"/>
        </w:rPr>
        <w:t>Amendment requests should be made before the carryover submission deadline</w:t>
      </w:r>
      <w:r w:rsidR="003C6F88">
        <w:rPr>
          <w:rFonts w:asciiTheme="minorHAnsi" w:hAnsiTheme="minorHAnsi"/>
        </w:rPr>
        <w:t>,</w:t>
      </w:r>
      <w:r w:rsidR="00E342DA" w:rsidRPr="00C13CCA">
        <w:rPr>
          <w:rFonts w:asciiTheme="minorHAnsi" w:hAnsiTheme="minorHAnsi"/>
        </w:rPr>
        <w:t xml:space="preserve"> and the approval</w:t>
      </w:r>
      <w:r w:rsidR="00236500" w:rsidRPr="00C13CCA">
        <w:rPr>
          <w:rFonts w:asciiTheme="minorHAnsi" w:hAnsiTheme="minorHAnsi"/>
        </w:rPr>
        <w:t>,</w:t>
      </w:r>
      <w:r w:rsidR="00E342DA" w:rsidRPr="00C13CCA">
        <w:rPr>
          <w:rFonts w:asciiTheme="minorHAnsi" w:hAnsiTheme="minorHAnsi"/>
        </w:rPr>
        <w:t xml:space="preserve"> </w:t>
      </w:r>
      <w:r w:rsidR="00236500" w:rsidRPr="00C13CCA">
        <w:rPr>
          <w:rFonts w:asciiTheme="minorHAnsi" w:hAnsiTheme="minorHAnsi"/>
        </w:rPr>
        <w:t xml:space="preserve">or evidence of the Department’s receipt of the request, </w:t>
      </w:r>
      <w:r w:rsidR="003C6F88">
        <w:rPr>
          <w:rFonts w:asciiTheme="minorHAnsi" w:hAnsiTheme="minorHAnsi"/>
        </w:rPr>
        <w:t xml:space="preserve">should be </w:t>
      </w:r>
      <w:r w:rsidR="00E342DA" w:rsidRPr="00C13CCA">
        <w:rPr>
          <w:rFonts w:asciiTheme="minorHAnsi" w:hAnsiTheme="minorHAnsi"/>
        </w:rPr>
        <w:t xml:space="preserve">submitted </w:t>
      </w:r>
      <w:r w:rsidR="004F32A0" w:rsidRPr="00C13CCA">
        <w:rPr>
          <w:rFonts w:asciiTheme="minorHAnsi" w:hAnsiTheme="minorHAnsi"/>
        </w:rPr>
        <w:t>behind</w:t>
      </w:r>
      <w:r w:rsidR="00E342DA" w:rsidRPr="00C13CCA">
        <w:rPr>
          <w:rFonts w:asciiTheme="minorHAnsi" w:hAnsiTheme="minorHAnsi"/>
        </w:rPr>
        <w:t xml:space="preserve"> Tab 7 of the carryover package</w:t>
      </w:r>
      <w:r w:rsidRPr="00C13CCA">
        <w:rPr>
          <w:rFonts w:asciiTheme="minorHAnsi" w:hAnsiTheme="minorHAnsi"/>
        </w:rPr>
        <w:t xml:space="preserve">. </w:t>
      </w:r>
      <w:r w:rsidR="00236500" w:rsidRPr="00C13CCA">
        <w:rPr>
          <w:rFonts w:asciiTheme="minorHAnsi" w:hAnsiTheme="minorHAnsi"/>
        </w:rPr>
        <w:t xml:space="preserve">Do not submit the request itself. </w:t>
      </w:r>
      <w:r w:rsidR="00E342DA" w:rsidRPr="00C13CCA">
        <w:rPr>
          <w:rFonts w:asciiTheme="minorHAnsi" w:hAnsiTheme="minorHAnsi"/>
        </w:rPr>
        <w:t>10 TAC §</w:t>
      </w:r>
      <w:r w:rsidRPr="00C13CCA">
        <w:rPr>
          <w:rFonts w:asciiTheme="minorHAnsi" w:hAnsiTheme="minorHAnsi"/>
        </w:rPr>
        <w:t xml:space="preserve">10.405 governs amendments and </w:t>
      </w:r>
      <w:r w:rsidR="00E342DA" w:rsidRPr="00C13CCA">
        <w:rPr>
          <w:rFonts w:asciiTheme="minorHAnsi" w:hAnsiTheme="minorHAnsi"/>
        </w:rPr>
        <w:t xml:space="preserve">10 TAC </w:t>
      </w:r>
      <w:r w:rsidRPr="00C13CCA">
        <w:rPr>
          <w:rFonts w:asciiTheme="minorHAnsi" w:hAnsiTheme="minorHAnsi"/>
        </w:rPr>
        <w:t>§</w:t>
      </w:r>
      <w:r w:rsidR="009B4EC5" w:rsidRPr="00C13CCA">
        <w:rPr>
          <w:rFonts w:asciiTheme="minorHAnsi" w:hAnsiTheme="minorHAnsi"/>
        </w:rPr>
        <w:t>11</w:t>
      </w:r>
      <w:r w:rsidRPr="00C13CCA">
        <w:rPr>
          <w:rFonts w:asciiTheme="minorHAnsi" w:hAnsiTheme="minorHAnsi"/>
        </w:rPr>
        <w:t>.901</w:t>
      </w:r>
      <w:r w:rsidR="009B4EC5" w:rsidRPr="00C13CCA">
        <w:rPr>
          <w:rFonts w:asciiTheme="minorHAnsi" w:hAnsiTheme="minorHAnsi"/>
        </w:rPr>
        <w:t>(10)</w:t>
      </w:r>
      <w:r w:rsidRPr="00C13CCA">
        <w:rPr>
          <w:rFonts w:asciiTheme="minorHAnsi" w:hAnsiTheme="minorHAnsi"/>
        </w:rPr>
        <w:t xml:space="preserve"> establishes the associated fees. Owners should consult </w:t>
      </w:r>
      <w:r w:rsidR="00E342DA" w:rsidRPr="00C13CCA">
        <w:rPr>
          <w:rFonts w:asciiTheme="minorHAnsi" w:hAnsiTheme="minorHAnsi"/>
        </w:rPr>
        <w:t>the</w:t>
      </w:r>
      <w:r w:rsidR="006969E6">
        <w:rPr>
          <w:rFonts w:asciiTheme="minorHAnsi" w:hAnsiTheme="minorHAnsi"/>
        </w:rPr>
        <w:t xml:space="preserve"> Asset Management Division’s</w:t>
      </w:r>
      <w:r w:rsidR="00E342DA" w:rsidRPr="00C13CCA">
        <w:rPr>
          <w:rFonts w:asciiTheme="minorHAnsi" w:hAnsiTheme="minorHAnsi"/>
        </w:rPr>
        <w:t xml:space="preserve"> Post </w:t>
      </w:r>
      <w:r w:rsidR="006A04F5">
        <w:rPr>
          <w:rFonts w:asciiTheme="minorHAnsi" w:hAnsiTheme="minorHAnsi"/>
        </w:rPr>
        <w:t>Award</w:t>
      </w:r>
      <w:r w:rsidR="00E342DA" w:rsidRPr="00C13CCA">
        <w:rPr>
          <w:rFonts w:asciiTheme="minorHAnsi" w:hAnsiTheme="minorHAnsi"/>
        </w:rPr>
        <w:t xml:space="preserve"> Activities Manual at </w:t>
      </w:r>
      <w:hyperlink r:id="rId14" w:history="1">
        <w:r w:rsidR="006969E6" w:rsidRPr="00720CD4">
          <w:rPr>
            <w:rStyle w:val="Hyperlink"/>
            <w:rFonts w:asciiTheme="minorHAnsi" w:hAnsiTheme="minorHAnsi"/>
          </w:rPr>
          <w:t>https://www.tdhca.texas.gov/post-award-activities-manual</w:t>
        </w:r>
      </w:hyperlink>
      <w:r w:rsidR="00E342DA" w:rsidRPr="00C13CCA">
        <w:rPr>
          <w:rFonts w:asciiTheme="minorHAnsi" w:hAnsiTheme="minorHAnsi"/>
        </w:rPr>
        <w:t xml:space="preserve"> </w:t>
      </w:r>
      <w:r w:rsidR="00505F99">
        <w:rPr>
          <w:rFonts w:asciiTheme="minorHAnsi" w:hAnsiTheme="minorHAnsi"/>
        </w:rPr>
        <w:t xml:space="preserve">for </w:t>
      </w:r>
      <w:r w:rsidRPr="00C13CCA">
        <w:rPr>
          <w:rFonts w:asciiTheme="minorHAnsi" w:hAnsiTheme="minorHAnsi"/>
        </w:rPr>
        <w:t>description</w:t>
      </w:r>
      <w:r w:rsidR="00505F99">
        <w:rPr>
          <w:rFonts w:asciiTheme="minorHAnsi" w:hAnsiTheme="minorHAnsi"/>
        </w:rPr>
        <w:t>s</w:t>
      </w:r>
      <w:r w:rsidRPr="00C13CCA">
        <w:rPr>
          <w:rFonts w:asciiTheme="minorHAnsi" w:hAnsiTheme="minorHAnsi"/>
        </w:rPr>
        <w:t xml:space="preserve"> of the types of changes that constitute amendments requiring approval from the Department or the </w:t>
      </w:r>
      <w:r w:rsidR="00505F99">
        <w:rPr>
          <w:rFonts w:asciiTheme="minorHAnsi" w:hAnsiTheme="minorHAnsi"/>
        </w:rPr>
        <w:t>B</w:t>
      </w:r>
      <w:r w:rsidRPr="00C13CCA">
        <w:rPr>
          <w:rFonts w:asciiTheme="minorHAnsi" w:hAnsiTheme="minorHAnsi"/>
        </w:rPr>
        <w:t>oard.</w:t>
      </w:r>
    </w:p>
    <w:p w14:paraId="4822CB24" w14:textId="77777777" w:rsidR="00E342DA" w:rsidRPr="00C13CCA" w:rsidRDefault="00E342DA" w:rsidP="00D93FB1">
      <w:pPr>
        <w:ind w:left="1440"/>
        <w:jc w:val="both"/>
        <w:rPr>
          <w:rFonts w:asciiTheme="minorHAnsi" w:hAnsiTheme="minorHAnsi"/>
        </w:rPr>
      </w:pPr>
    </w:p>
    <w:p w14:paraId="79D7FC0A" w14:textId="54C08987" w:rsidR="00B729B0" w:rsidRPr="00C13CCA" w:rsidRDefault="009A33C1" w:rsidP="00B729B0">
      <w:pPr>
        <w:numPr>
          <w:ilvl w:val="0"/>
          <w:numId w:val="3"/>
        </w:numPr>
        <w:ind w:left="1440"/>
        <w:jc w:val="both"/>
        <w:rPr>
          <w:rFonts w:asciiTheme="minorHAnsi" w:hAnsiTheme="minorHAnsi"/>
        </w:rPr>
      </w:pPr>
      <w:r>
        <w:rPr>
          <w:rFonts w:asciiTheme="minorHAnsi" w:hAnsiTheme="minorHAnsi"/>
        </w:rPr>
        <w:t>A</w:t>
      </w:r>
      <w:r w:rsidRPr="00C13CCA">
        <w:rPr>
          <w:rFonts w:asciiTheme="minorHAnsi" w:hAnsiTheme="minorHAnsi"/>
        </w:rPr>
        <w:t>s stated in 10 TAC §</w:t>
      </w:r>
      <w:r>
        <w:rPr>
          <w:rFonts w:asciiTheme="minorHAnsi" w:hAnsiTheme="minorHAnsi"/>
        </w:rPr>
        <w:t>11.907</w:t>
      </w:r>
      <w:r w:rsidRPr="00C13CCA">
        <w:rPr>
          <w:rFonts w:asciiTheme="minorHAnsi" w:hAnsiTheme="minorHAnsi"/>
        </w:rPr>
        <w:t>(2), “If the interim or permanent financing structure, syndication rate, amount of debt or syndication proceeds are finalized but different at the time of carryover from what was proposed in the original Application, applicable documentation of such changes must be provided and the Development may be re-evaluated by the Department for a reduction of credit or change in conditions.”</w:t>
      </w:r>
      <w:r w:rsidR="000E6AE0">
        <w:rPr>
          <w:rFonts w:asciiTheme="minorHAnsi" w:hAnsiTheme="minorHAnsi"/>
        </w:rPr>
        <w:t xml:space="preserve"> </w:t>
      </w:r>
      <w:r w:rsidR="00814122">
        <w:rPr>
          <w:rFonts w:asciiTheme="minorHAnsi" w:hAnsiTheme="minorHAnsi"/>
        </w:rPr>
        <w:t xml:space="preserve">In Tab 7 of the Carryover Package, submit confirmation that </w:t>
      </w:r>
      <w:r w:rsidR="00083DB3" w:rsidRPr="00C13CCA">
        <w:rPr>
          <w:rFonts w:asciiTheme="minorHAnsi" w:hAnsiTheme="minorHAnsi"/>
        </w:rPr>
        <w:t xml:space="preserve">documentation of these </w:t>
      </w:r>
      <w:r w:rsidR="00E339CA">
        <w:rPr>
          <w:rFonts w:asciiTheme="minorHAnsi" w:hAnsiTheme="minorHAnsi"/>
        </w:rPr>
        <w:t>changes</w:t>
      </w:r>
      <w:r w:rsidR="00083DB3" w:rsidRPr="00C13CCA">
        <w:rPr>
          <w:rFonts w:asciiTheme="minorHAnsi" w:hAnsiTheme="minorHAnsi"/>
        </w:rPr>
        <w:t xml:space="preserve"> </w:t>
      </w:r>
      <w:r w:rsidR="00814122">
        <w:rPr>
          <w:rFonts w:asciiTheme="minorHAnsi" w:hAnsiTheme="minorHAnsi"/>
        </w:rPr>
        <w:t xml:space="preserve">has been </w:t>
      </w:r>
      <w:r w:rsidR="0085709D" w:rsidRPr="00C13CCA">
        <w:rPr>
          <w:rFonts w:asciiTheme="minorHAnsi" w:hAnsiTheme="minorHAnsi"/>
        </w:rPr>
        <w:t>submitted</w:t>
      </w:r>
      <w:r w:rsidR="00E339CA">
        <w:rPr>
          <w:rFonts w:asciiTheme="minorHAnsi" w:hAnsiTheme="minorHAnsi"/>
        </w:rPr>
        <w:t xml:space="preserve"> </w:t>
      </w:r>
      <w:r w:rsidR="00814122">
        <w:rPr>
          <w:rFonts w:asciiTheme="minorHAnsi" w:hAnsiTheme="minorHAnsi"/>
        </w:rPr>
        <w:t>for a</w:t>
      </w:r>
      <w:r w:rsidR="00AF53C1">
        <w:rPr>
          <w:rFonts w:asciiTheme="minorHAnsi" w:hAnsiTheme="minorHAnsi"/>
        </w:rPr>
        <w:t xml:space="preserve">cceptance </w:t>
      </w:r>
      <w:r w:rsidR="00E339CA">
        <w:rPr>
          <w:rFonts w:asciiTheme="minorHAnsi" w:hAnsiTheme="minorHAnsi"/>
        </w:rPr>
        <w:t xml:space="preserve">to the underwriter and manager that signed the TDHCA underwriting report for the Real Estate Analysis Division. </w:t>
      </w:r>
      <w:r w:rsidR="00814122">
        <w:rPr>
          <w:rFonts w:asciiTheme="minorHAnsi" w:hAnsiTheme="minorHAnsi"/>
        </w:rPr>
        <w:t xml:space="preserve">Submit </w:t>
      </w:r>
      <w:r>
        <w:rPr>
          <w:rFonts w:asciiTheme="minorHAnsi" w:hAnsiTheme="minorHAnsi"/>
        </w:rPr>
        <w:t xml:space="preserve">acknowledgement, </w:t>
      </w:r>
      <w:r w:rsidR="00AF53C1">
        <w:rPr>
          <w:rFonts w:asciiTheme="minorHAnsi" w:hAnsiTheme="minorHAnsi"/>
        </w:rPr>
        <w:t>acceptance/</w:t>
      </w:r>
      <w:proofErr w:type="gramStart"/>
      <w:r>
        <w:rPr>
          <w:rFonts w:asciiTheme="minorHAnsi" w:hAnsiTheme="minorHAnsi"/>
        </w:rPr>
        <w:t>approval</w:t>
      </w:r>
      <w:proofErr w:type="gramEnd"/>
      <w:r>
        <w:rPr>
          <w:rFonts w:asciiTheme="minorHAnsi" w:hAnsiTheme="minorHAnsi"/>
        </w:rPr>
        <w:t xml:space="preserve"> or clearance from REA as well as </w:t>
      </w:r>
      <w:r w:rsidR="00814122">
        <w:rPr>
          <w:rFonts w:asciiTheme="minorHAnsi" w:hAnsiTheme="minorHAnsi"/>
        </w:rPr>
        <w:t>t</w:t>
      </w:r>
      <w:r w:rsidR="00E339CA">
        <w:rPr>
          <w:rFonts w:asciiTheme="minorHAnsi" w:hAnsiTheme="minorHAnsi"/>
        </w:rPr>
        <w:t xml:space="preserve">he changes </w:t>
      </w:r>
      <w:r w:rsidR="00814122">
        <w:rPr>
          <w:rFonts w:asciiTheme="minorHAnsi" w:hAnsiTheme="minorHAnsi"/>
        </w:rPr>
        <w:t xml:space="preserve">themselves </w:t>
      </w:r>
      <w:r w:rsidR="0085709D" w:rsidRPr="00C13CCA">
        <w:rPr>
          <w:rFonts w:asciiTheme="minorHAnsi" w:hAnsiTheme="minorHAnsi"/>
        </w:rPr>
        <w:t xml:space="preserve">behind Tab </w:t>
      </w:r>
      <w:r w:rsidR="0020750D" w:rsidRPr="00C13CCA">
        <w:rPr>
          <w:rFonts w:asciiTheme="minorHAnsi" w:hAnsiTheme="minorHAnsi"/>
        </w:rPr>
        <w:t>7</w:t>
      </w:r>
      <w:r w:rsidR="006534CE">
        <w:rPr>
          <w:rFonts w:asciiTheme="minorHAnsi" w:hAnsiTheme="minorHAnsi"/>
        </w:rPr>
        <w:t xml:space="preserve"> to be </w:t>
      </w:r>
      <w:r w:rsidR="00083DB3" w:rsidRPr="00C13CCA">
        <w:rPr>
          <w:rFonts w:asciiTheme="minorHAnsi" w:hAnsiTheme="minorHAnsi"/>
        </w:rPr>
        <w:t>review</w:t>
      </w:r>
      <w:r w:rsidR="006534CE">
        <w:rPr>
          <w:rFonts w:asciiTheme="minorHAnsi" w:hAnsiTheme="minorHAnsi"/>
        </w:rPr>
        <w:t>ed</w:t>
      </w:r>
      <w:r w:rsidR="00083DB3" w:rsidRPr="00C13CCA">
        <w:rPr>
          <w:rFonts w:asciiTheme="minorHAnsi" w:hAnsiTheme="minorHAnsi"/>
        </w:rPr>
        <w:t xml:space="preserve"> </w:t>
      </w:r>
      <w:r>
        <w:rPr>
          <w:rFonts w:asciiTheme="minorHAnsi" w:hAnsiTheme="minorHAnsi"/>
        </w:rPr>
        <w:t xml:space="preserve">by Multifamily Finance staff </w:t>
      </w:r>
      <w:r w:rsidR="00083DB3" w:rsidRPr="00C13CCA">
        <w:rPr>
          <w:rFonts w:asciiTheme="minorHAnsi" w:hAnsiTheme="minorHAnsi"/>
        </w:rPr>
        <w:t xml:space="preserve">for any </w:t>
      </w:r>
      <w:r w:rsidR="00E612E5" w:rsidRPr="00C13CCA">
        <w:rPr>
          <w:rFonts w:asciiTheme="minorHAnsi" w:hAnsiTheme="minorHAnsi"/>
        </w:rPr>
        <w:t>e</w:t>
      </w:r>
      <w:r w:rsidR="00083DB3" w:rsidRPr="00C13CCA">
        <w:rPr>
          <w:rFonts w:asciiTheme="minorHAnsi" w:hAnsiTheme="minorHAnsi"/>
        </w:rPr>
        <w:t>ffect on scoring. Replacement</w:t>
      </w:r>
      <w:r w:rsidR="00AC2DC0" w:rsidRPr="00C13CCA">
        <w:rPr>
          <w:rFonts w:asciiTheme="minorHAnsi" w:hAnsiTheme="minorHAnsi"/>
        </w:rPr>
        <w:t>s of Application</w:t>
      </w:r>
      <w:r w:rsidR="00083DB3" w:rsidRPr="00C13CCA">
        <w:rPr>
          <w:rFonts w:asciiTheme="minorHAnsi" w:hAnsiTheme="minorHAnsi"/>
        </w:rPr>
        <w:t xml:space="preserve"> exhibits </w:t>
      </w:r>
      <w:r w:rsidR="00B729B0" w:rsidRPr="00C13CCA">
        <w:rPr>
          <w:rFonts w:asciiTheme="minorHAnsi" w:hAnsiTheme="minorHAnsi"/>
        </w:rPr>
        <w:t xml:space="preserve">must be submitted if the </w:t>
      </w:r>
      <w:r w:rsidR="00083DB3" w:rsidRPr="00C13CCA">
        <w:rPr>
          <w:rFonts w:asciiTheme="minorHAnsi" w:hAnsiTheme="minorHAnsi"/>
        </w:rPr>
        <w:t>original application exhibits</w:t>
      </w:r>
      <w:r w:rsidR="00B729B0" w:rsidRPr="00C13CCA">
        <w:rPr>
          <w:rFonts w:asciiTheme="minorHAnsi" w:hAnsiTheme="minorHAnsi"/>
        </w:rPr>
        <w:t xml:space="preserve"> no longer reflect the anticipated</w:t>
      </w:r>
      <w:r w:rsidR="006561FD" w:rsidRPr="00C13CCA">
        <w:rPr>
          <w:rFonts w:asciiTheme="minorHAnsi" w:hAnsiTheme="minorHAnsi"/>
        </w:rPr>
        <w:t xml:space="preserve"> financing</w:t>
      </w:r>
      <w:r w:rsidR="00B729B0" w:rsidRPr="00C13CCA">
        <w:rPr>
          <w:rFonts w:asciiTheme="minorHAnsi" w:hAnsiTheme="minorHAnsi"/>
        </w:rPr>
        <w:t xml:space="preserve">, revenues, </w:t>
      </w:r>
      <w:proofErr w:type="gramStart"/>
      <w:r w:rsidR="00B729B0" w:rsidRPr="00C13CCA">
        <w:rPr>
          <w:rFonts w:asciiTheme="minorHAnsi" w:hAnsiTheme="minorHAnsi"/>
        </w:rPr>
        <w:t>expenses</w:t>
      </w:r>
      <w:proofErr w:type="gramEnd"/>
      <w:r w:rsidR="00B729B0" w:rsidRPr="00C13CCA">
        <w:rPr>
          <w:rFonts w:asciiTheme="minorHAnsi" w:hAnsiTheme="minorHAnsi"/>
        </w:rPr>
        <w:t xml:space="preserve"> or</w:t>
      </w:r>
      <w:r w:rsidR="006561FD" w:rsidRPr="00C13CCA">
        <w:rPr>
          <w:rFonts w:asciiTheme="minorHAnsi" w:hAnsiTheme="minorHAnsi"/>
        </w:rPr>
        <w:t xml:space="preserve"> costs</w:t>
      </w:r>
      <w:r w:rsidR="00AF53C1">
        <w:rPr>
          <w:rFonts w:asciiTheme="minorHAnsi" w:hAnsiTheme="minorHAnsi"/>
        </w:rPr>
        <w:t xml:space="preserve"> that were represented in the application</w:t>
      </w:r>
      <w:r w:rsidR="00B729B0" w:rsidRPr="00C13CCA">
        <w:rPr>
          <w:rFonts w:asciiTheme="minorHAnsi" w:hAnsiTheme="minorHAnsi"/>
        </w:rPr>
        <w:t xml:space="preserve">. </w:t>
      </w:r>
      <w:r w:rsidR="00AF53C1" w:rsidRPr="00C13CCA">
        <w:rPr>
          <w:rFonts w:asciiTheme="minorHAnsi" w:hAnsiTheme="minorHAnsi"/>
        </w:rPr>
        <w:t xml:space="preserve">Changes in financing, revenues, </w:t>
      </w:r>
      <w:proofErr w:type="gramStart"/>
      <w:r w:rsidR="00AF53C1" w:rsidRPr="00C13CCA">
        <w:rPr>
          <w:rFonts w:asciiTheme="minorHAnsi" w:hAnsiTheme="minorHAnsi"/>
        </w:rPr>
        <w:t>expenses</w:t>
      </w:r>
      <w:proofErr w:type="gramEnd"/>
      <w:r w:rsidR="00AF53C1" w:rsidRPr="00C13CCA">
        <w:rPr>
          <w:rFonts w:asciiTheme="minorHAnsi" w:hAnsiTheme="minorHAnsi"/>
        </w:rPr>
        <w:t xml:space="preserve"> and costs that will not cause changes in the score of the application generally will not be treated as amendments of the application.</w:t>
      </w:r>
    </w:p>
    <w:p w14:paraId="6DED1546" w14:textId="77777777" w:rsidR="00D93FB1" w:rsidRPr="00C13CCA" w:rsidRDefault="00D93FB1" w:rsidP="00D93FB1">
      <w:pPr>
        <w:ind w:left="1440"/>
        <w:jc w:val="both"/>
        <w:rPr>
          <w:rFonts w:asciiTheme="minorHAnsi" w:hAnsiTheme="minorHAnsi"/>
        </w:rPr>
      </w:pPr>
    </w:p>
    <w:p w14:paraId="3B561232" w14:textId="77777777" w:rsidR="00B729B0" w:rsidRPr="00C13CCA" w:rsidRDefault="00E342DA" w:rsidP="00AC2DC0">
      <w:pPr>
        <w:numPr>
          <w:ilvl w:val="0"/>
          <w:numId w:val="3"/>
        </w:numPr>
        <w:ind w:left="1440"/>
        <w:jc w:val="both"/>
        <w:rPr>
          <w:rFonts w:asciiTheme="minorHAnsi" w:hAnsiTheme="minorHAnsi"/>
        </w:rPr>
      </w:pPr>
      <w:r w:rsidRPr="00C13CCA">
        <w:rPr>
          <w:rFonts w:asciiTheme="minorHAnsi" w:hAnsiTheme="minorHAnsi"/>
        </w:rPr>
        <w:t>C</w:t>
      </w:r>
      <w:r w:rsidR="00B729B0" w:rsidRPr="00C13CCA">
        <w:rPr>
          <w:rFonts w:asciiTheme="minorHAnsi" w:hAnsiTheme="minorHAnsi"/>
        </w:rPr>
        <w:t xml:space="preserve">hanges in the development proposal require review for conformity with programmatic requirements and </w:t>
      </w:r>
      <w:r w:rsidR="00E612E5" w:rsidRPr="00C13CCA">
        <w:rPr>
          <w:rFonts w:asciiTheme="minorHAnsi" w:hAnsiTheme="minorHAnsi"/>
        </w:rPr>
        <w:t xml:space="preserve">may </w:t>
      </w:r>
      <w:r w:rsidR="00B729B0" w:rsidRPr="00C13CCA">
        <w:rPr>
          <w:rFonts w:asciiTheme="minorHAnsi" w:hAnsiTheme="minorHAnsi"/>
        </w:rPr>
        <w:t>require additional underwriting review, either of which may affect the allocation of credit</w:t>
      </w:r>
      <w:r w:rsidR="00FC6C6D" w:rsidRPr="00C13CCA">
        <w:rPr>
          <w:rFonts w:asciiTheme="minorHAnsi" w:hAnsiTheme="minorHAnsi"/>
        </w:rPr>
        <w:t>s</w:t>
      </w:r>
      <w:r w:rsidR="00B729B0" w:rsidRPr="00C13CCA">
        <w:rPr>
          <w:rFonts w:asciiTheme="minorHAnsi" w:hAnsiTheme="minorHAnsi"/>
        </w:rPr>
        <w:t>. Owners should be sure that any changes reported reflect the anticipated final form of the development proposal to avoid unnecessary delay. If there have been no changes in the development proposal since the time of underwriting the application, the underwriting performed at the time of application will remain effective for the carryover, and there will be no decrease in the carryover allocation from the amount of tax credits recommended in the original underwriting.</w:t>
      </w:r>
    </w:p>
    <w:p w14:paraId="558530B7" w14:textId="14C0C59B" w:rsidR="00581586" w:rsidRDefault="00581586">
      <w:pPr>
        <w:rPr>
          <w:rFonts w:asciiTheme="minorHAnsi" w:hAnsiTheme="minorHAnsi"/>
          <w:u w:val="single"/>
        </w:rPr>
      </w:pPr>
    </w:p>
    <w:p w14:paraId="13BEF611" w14:textId="77777777" w:rsidR="00E70E19" w:rsidRDefault="00E70E19">
      <w:pPr>
        <w:rPr>
          <w:rFonts w:asciiTheme="minorHAnsi" w:hAnsiTheme="minorHAnsi"/>
          <w:u w:val="single"/>
        </w:rPr>
      </w:pPr>
      <w:r>
        <w:rPr>
          <w:rFonts w:asciiTheme="minorHAnsi" w:hAnsiTheme="minorHAnsi"/>
          <w:u w:val="single"/>
        </w:rPr>
        <w:br w:type="page"/>
      </w:r>
    </w:p>
    <w:p w14:paraId="04486A18" w14:textId="03CABCF0" w:rsidR="00B729B0" w:rsidRPr="00C13CCA" w:rsidRDefault="00B729B0" w:rsidP="00C61164">
      <w:pPr>
        <w:ind w:left="720" w:firstLine="720"/>
        <w:jc w:val="both"/>
        <w:rPr>
          <w:rFonts w:asciiTheme="minorHAnsi" w:hAnsiTheme="minorHAnsi"/>
          <w:u w:val="single"/>
        </w:rPr>
      </w:pPr>
      <w:r w:rsidRPr="00C13CCA">
        <w:rPr>
          <w:rFonts w:asciiTheme="minorHAnsi" w:hAnsiTheme="minorHAnsi"/>
          <w:u w:val="single"/>
        </w:rPr>
        <w:lastRenderedPageBreak/>
        <w:t xml:space="preserve">Examples of </w:t>
      </w:r>
      <w:r w:rsidR="00E342DA" w:rsidRPr="00C13CCA">
        <w:rPr>
          <w:rFonts w:asciiTheme="minorHAnsi" w:hAnsiTheme="minorHAnsi"/>
          <w:u w:val="single"/>
        </w:rPr>
        <w:t>Application</w:t>
      </w:r>
      <w:r w:rsidR="00B245A0" w:rsidRPr="00C13CCA">
        <w:rPr>
          <w:rFonts w:asciiTheme="minorHAnsi" w:hAnsiTheme="minorHAnsi"/>
          <w:u w:val="single"/>
        </w:rPr>
        <w:t xml:space="preserve"> </w:t>
      </w:r>
      <w:r w:rsidRPr="00C13CCA">
        <w:rPr>
          <w:rFonts w:asciiTheme="minorHAnsi" w:hAnsiTheme="minorHAnsi"/>
          <w:u w:val="single"/>
        </w:rPr>
        <w:t xml:space="preserve">forms that may be applicable </w:t>
      </w:r>
      <w:r w:rsidR="004F32A0" w:rsidRPr="00C13CCA">
        <w:rPr>
          <w:rFonts w:asciiTheme="minorHAnsi" w:hAnsiTheme="minorHAnsi"/>
          <w:u w:val="single"/>
        </w:rPr>
        <w:t>to</w:t>
      </w:r>
      <w:r w:rsidRPr="00C13CCA">
        <w:rPr>
          <w:rFonts w:asciiTheme="minorHAnsi" w:hAnsiTheme="minorHAnsi"/>
          <w:u w:val="single"/>
        </w:rPr>
        <w:t xml:space="preserve"> reporting changes:</w:t>
      </w:r>
    </w:p>
    <w:p w14:paraId="691ACCFE" w14:textId="77777777" w:rsidR="00B729B0" w:rsidRPr="00C13CCA" w:rsidRDefault="00B729B0" w:rsidP="00B729B0">
      <w:pPr>
        <w:ind w:left="1440"/>
        <w:jc w:val="both"/>
        <w:rPr>
          <w:rFonts w:asciiTheme="minorHAnsi" w:hAnsiTheme="minorHAnsi"/>
        </w:rPr>
      </w:pPr>
    </w:p>
    <w:p w14:paraId="443727E8"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Rent Schedule</w:t>
      </w:r>
    </w:p>
    <w:p w14:paraId="1302BDE2"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Utility Allowances</w:t>
      </w:r>
    </w:p>
    <w:p w14:paraId="6B3B4F55"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Annual Operating Expenses</w:t>
      </w:r>
    </w:p>
    <w:p w14:paraId="5D5F4D9D"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15</w:t>
      </w:r>
      <w:r w:rsidR="006561FD" w:rsidRPr="00C13CCA">
        <w:rPr>
          <w:rFonts w:asciiTheme="minorHAnsi" w:hAnsiTheme="minorHAnsi"/>
        </w:rPr>
        <w:t>-</w:t>
      </w:r>
      <w:r w:rsidRPr="00C13CCA">
        <w:rPr>
          <w:rFonts w:asciiTheme="minorHAnsi" w:hAnsiTheme="minorHAnsi"/>
        </w:rPr>
        <w:t>Year Rental Housing Operating Pro Forma</w:t>
      </w:r>
    </w:p>
    <w:p w14:paraId="2C3162DE"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Development Cost Schedule</w:t>
      </w:r>
    </w:p>
    <w:p w14:paraId="7DAAA886" w14:textId="719D46EE" w:rsidR="00B729B0" w:rsidRPr="00C13CCA" w:rsidRDefault="00001329" w:rsidP="003F7986">
      <w:pPr>
        <w:numPr>
          <w:ilvl w:val="2"/>
          <w:numId w:val="14"/>
        </w:numPr>
        <w:ind w:left="2160"/>
        <w:jc w:val="both"/>
        <w:rPr>
          <w:rFonts w:asciiTheme="minorHAnsi" w:hAnsiTheme="minorHAnsi"/>
        </w:rPr>
      </w:pPr>
      <w:r>
        <w:rPr>
          <w:rFonts w:asciiTheme="minorHAnsi" w:hAnsiTheme="minorHAnsi"/>
        </w:rPr>
        <w:t>Scope and Cost Review</w:t>
      </w:r>
      <w:r w:rsidR="00B729B0" w:rsidRPr="00C13CCA">
        <w:rPr>
          <w:rFonts w:asciiTheme="minorHAnsi" w:hAnsiTheme="minorHAnsi"/>
        </w:rPr>
        <w:t xml:space="preserve"> (only required if rehabilitation is proposed). See </w:t>
      </w:r>
      <w:r w:rsidR="00E342DA" w:rsidRPr="00C13CCA">
        <w:rPr>
          <w:rFonts w:asciiTheme="minorHAnsi" w:hAnsiTheme="minorHAnsi"/>
        </w:rPr>
        <w:t>10 TAC</w:t>
      </w:r>
      <w:r w:rsidR="00B729B0" w:rsidRPr="00C13CCA">
        <w:rPr>
          <w:rFonts w:asciiTheme="minorHAnsi" w:hAnsiTheme="minorHAnsi"/>
        </w:rPr>
        <w:t xml:space="preserve"> </w:t>
      </w:r>
      <w:r w:rsidR="00B729B0" w:rsidRPr="00906DFF">
        <w:rPr>
          <w:rFonts w:asciiTheme="minorHAnsi" w:hAnsiTheme="minorHAnsi"/>
        </w:rPr>
        <w:t>§</w:t>
      </w:r>
      <w:r w:rsidRPr="00906DFF">
        <w:rPr>
          <w:rFonts w:asciiTheme="minorHAnsi" w:hAnsiTheme="minorHAnsi"/>
        </w:rPr>
        <w:t>11</w:t>
      </w:r>
      <w:r w:rsidR="00B729B0" w:rsidRPr="00906DFF">
        <w:rPr>
          <w:rFonts w:asciiTheme="minorHAnsi" w:hAnsiTheme="minorHAnsi"/>
        </w:rPr>
        <w:t>.306</w:t>
      </w:r>
      <w:r w:rsidR="00A931FD" w:rsidRPr="00906DFF">
        <w:rPr>
          <w:rFonts w:asciiTheme="minorHAnsi" w:hAnsiTheme="minorHAnsi"/>
        </w:rPr>
        <w:t>,</w:t>
      </w:r>
      <w:r w:rsidR="00B729B0" w:rsidRPr="00C13CCA">
        <w:rPr>
          <w:rFonts w:asciiTheme="minorHAnsi" w:hAnsiTheme="minorHAnsi"/>
        </w:rPr>
        <w:t xml:space="preserve"> </w:t>
      </w:r>
      <w:r>
        <w:rPr>
          <w:rFonts w:asciiTheme="minorHAnsi" w:hAnsiTheme="minorHAnsi"/>
        </w:rPr>
        <w:t>Scope and Cost Review</w:t>
      </w:r>
      <w:r w:rsidR="00B729B0" w:rsidRPr="00C13CCA">
        <w:rPr>
          <w:rFonts w:asciiTheme="minorHAnsi" w:hAnsiTheme="minorHAnsi"/>
        </w:rPr>
        <w:t xml:space="preserve"> Guidelines</w:t>
      </w:r>
      <w:r w:rsidR="00276930">
        <w:rPr>
          <w:rFonts w:asciiTheme="minorHAnsi" w:hAnsiTheme="minorHAnsi"/>
        </w:rPr>
        <w:t>,</w:t>
      </w:r>
      <w:r w:rsidR="00B729B0" w:rsidRPr="00C13CCA">
        <w:rPr>
          <w:rFonts w:asciiTheme="minorHAnsi" w:hAnsiTheme="minorHAnsi"/>
        </w:rPr>
        <w:t xml:space="preserve"> for </w:t>
      </w:r>
      <w:r w:rsidR="00FC6C6D" w:rsidRPr="00C13CCA">
        <w:rPr>
          <w:rFonts w:asciiTheme="minorHAnsi" w:hAnsiTheme="minorHAnsi"/>
        </w:rPr>
        <w:t xml:space="preserve">a </w:t>
      </w:r>
      <w:r w:rsidR="00B729B0" w:rsidRPr="00C13CCA">
        <w:rPr>
          <w:rFonts w:asciiTheme="minorHAnsi" w:hAnsiTheme="minorHAnsi"/>
        </w:rPr>
        <w:t>description of requirements.</w:t>
      </w:r>
    </w:p>
    <w:p w14:paraId="171020A2"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Offsite Cost Breakdown</w:t>
      </w:r>
    </w:p>
    <w:p w14:paraId="60C09561" w14:textId="77777777" w:rsidR="00B729B0" w:rsidRPr="00C13CCA" w:rsidRDefault="00B729B0" w:rsidP="003F7986">
      <w:pPr>
        <w:numPr>
          <w:ilvl w:val="2"/>
          <w:numId w:val="14"/>
        </w:numPr>
        <w:ind w:left="2160"/>
        <w:jc w:val="both"/>
        <w:rPr>
          <w:rFonts w:asciiTheme="minorHAnsi" w:hAnsiTheme="minorHAnsi"/>
        </w:rPr>
      </w:pPr>
      <w:r w:rsidRPr="00C13CCA">
        <w:rPr>
          <w:rFonts w:asciiTheme="minorHAnsi" w:hAnsiTheme="minorHAnsi"/>
        </w:rPr>
        <w:t xml:space="preserve">Site Work Cost Breakdown. This </w:t>
      </w:r>
      <w:r w:rsidR="00E016E5" w:rsidRPr="00C13CCA">
        <w:rPr>
          <w:rFonts w:asciiTheme="minorHAnsi" w:hAnsiTheme="minorHAnsi"/>
        </w:rPr>
        <w:t xml:space="preserve">form </w:t>
      </w:r>
      <w:r w:rsidRPr="00C13CCA">
        <w:rPr>
          <w:rFonts w:asciiTheme="minorHAnsi" w:hAnsiTheme="minorHAnsi"/>
        </w:rPr>
        <w:t>is required if site work costs have changed</w:t>
      </w:r>
      <w:r w:rsidR="00FC6C6D" w:rsidRPr="00C13CCA">
        <w:rPr>
          <w:rFonts w:asciiTheme="minorHAnsi" w:hAnsiTheme="minorHAnsi"/>
        </w:rPr>
        <w:t>,</w:t>
      </w:r>
      <w:r w:rsidRPr="00C13CCA">
        <w:rPr>
          <w:rFonts w:asciiTheme="minorHAnsi" w:hAnsiTheme="minorHAnsi"/>
        </w:rPr>
        <w:t xml:space="preserve"> and </w:t>
      </w:r>
      <w:r w:rsidR="004F32A0" w:rsidRPr="00C13CCA">
        <w:rPr>
          <w:rFonts w:asciiTheme="minorHAnsi" w:hAnsiTheme="minorHAnsi"/>
        </w:rPr>
        <w:t xml:space="preserve">if that change results in total site work costs exceeding $15,000 per unit, </w:t>
      </w:r>
      <w:r w:rsidR="00E016E5" w:rsidRPr="00C13CCA">
        <w:rPr>
          <w:rFonts w:asciiTheme="minorHAnsi" w:hAnsiTheme="minorHAnsi"/>
        </w:rPr>
        <w:t xml:space="preserve">the form </w:t>
      </w:r>
      <w:r w:rsidRPr="00C13CCA">
        <w:rPr>
          <w:rFonts w:asciiTheme="minorHAnsi" w:hAnsiTheme="minorHAnsi"/>
        </w:rPr>
        <w:t xml:space="preserve">must be accompanied by a CPA letter identifying the part of these costs that can be </w:t>
      </w:r>
      <w:r w:rsidR="004F32A0" w:rsidRPr="00C13CCA">
        <w:rPr>
          <w:rFonts w:asciiTheme="minorHAnsi" w:hAnsiTheme="minorHAnsi"/>
        </w:rPr>
        <w:t>i</w:t>
      </w:r>
      <w:r w:rsidR="009952FF" w:rsidRPr="00C13CCA">
        <w:rPr>
          <w:rFonts w:asciiTheme="minorHAnsi" w:hAnsiTheme="minorHAnsi"/>
        </w:rPr>
        <w:t>ncluded in Eligible Basis</w:t>
      </w:r>
      <w:r w:rsidR="004F32A0" w:rsidRPr="00C13CCA">
        <w:rPr>
          <w:rFonts w:asciiTheme="minorHAnsi" w:hAnsiTheme="minorHAnsi"/>
        </w:rPr>
        <w:t xml:space="preserve"> in the Development Cost Schedule</w:t>
      </w:r>
      <w:r w:rsidRPr="00C13CCA">
        <w:rPr>
          <w:rFonts w:asciiTheme="minorHAnsi" w:hAnsiTheme="minorHAnsi"/>
        </w:rPr>
        <w:t xml:space="preserve">. </w:t>
      </w:r>
    </w:p>
    <w:p w14:paraId="572FA2B9" w14:textId="12AE5FAE" w:rsidR="0089576E" w:rsidRPr="009E411E" w:rsidRDefault="00A931FD" w:rsidP="0089576E">
      <w:pPr>
        <w:numPr>
          <w:ilvl w:val="2"/>
          <w:numId w:val="14"/>
        </w:numPr>
        <w:ind w:left="2160"/>
        <w:jc w:val="both"/>
        <w:rPr>
          <w:rFonts w:ascii="Garamond" w:hAnsi="Garamond"/>
        </w:rPr>
      </w:pPr>
      <w:r>
        <w:rPr>
          <w:rFonts w:asciiTheme="minorHAnsi" w:hAnsiTheme="minorHAnsi"/>
        </w:rPr>
        <w:t>Schedule</w:t>
      </w:r>
      <w:r w:rsidRPr="00C13CCA">
        <w:rPr>
          <w:rFonts w:asciiTheme="minorHAnsi" w:hAnsiTheme="minorHAnsi"/>
        </w:rPr>
        <w:t xml:space="preserve"> </w:t>
      </w:r>
      <w:r w:rsidR="00B729B0" w:rsidRPr="00C13CCA">
        <w:rPr>
          <w:rFonts w:asciiTheme="minorHAnsi" w:hAnsiTheme="minorHAnsi"/>
        </w:rPr>
        <w:t>of Sources of Funds</w:t>
      </w:r>
      <w:r>
        <w:rPr>
          <w:rFonts w:asciiTheme="minorHAnsi" w:hAnsiTheme="minorHAnsi"/>
        </w:rPr>
        <w:t xml:space="preserve"> and Financing Narrative</w:t>
      </w:r>
      <w:r w:rsidR="00B729B0" w:rsidRPr="00C13CCA">
        <w:rPr>
          <w:rFonts w:asciiTheme="minorHAnsi" w:hAnsiTheme="minorHAnsi"/>
        </w:rPr>
        <w:t xml:space="preserve">. If financing changes, submit the </w:t>
      </w:r>
      <w:proofErr w:type="gramStart"/>
      <w:r w:rsidR="00B729B0" w:rsidRPr="00C13CCA">
        <w:rPr>
          <w:rFonts w:asciiTheme="minorHAnsi" w:hAnsiTheme="minorHAnsi"/>
        </w:rPr>
        <w:t>form</w:t>
      </w:r>
      <w:proofErr w:type="gramEnd"/>
      <w:r w:rsidR="00B729B0" w:rsidRPr="00C13CCA">
        <w:rPr>
          <w:rFonts w:asciiTheme="minorHAnsi" w:hAnsiTheme="minorHAnsi"/>
        </w:rPr>
        <w:t xml:space="preserve"> and amended commitment letters.</w:t>
      </w:r>
    </w:p>
    <w:p w14:paraId="469957D9" w14:textId="4F79D660" w:rsidR="009E411E" w:rsidRPr="00D93FB1" w:rsidRDefault="009E411E" w:rsidP="0089576E">
      <w:pPr>
        <w:numPr>
          <w:ilvl w:val="2"/>
          <w:numId w:val="14"/>
        </w:numPr>
        <w:ind w:left="2160"/>
        <w:jc w:val="both"/>
        <w:rPr>
          <w:rFonts w:ascii="Garamond" w:hAnsi="Garamond"/>
        </w:rPr>
      </w:pPr>
      <w:r>
        <w:rPr>
          <w:rFonts w:asciiTheme="minorHAnsi" w:hAnsiTheme="minorHAnsi"/>
        </w:rPr>
        <w:t>Permanent</w:t>
      </w:r>
      <w:r w:rsidR="006969E6">
        <w:rPr>
          <w:rFonts w:asciiTheme="minorHAnsi" w:hAnsiTheme="minorHAnsi"/>
        </w:rPr>
        <w:t xml:space="preserve"> </w:t>
      </w:r>
      <w:r>
        <w:rPr>
          <w:rFonts w:asciiTheme="minorHAnsi" w:hAnsiTheme="minorHAnsi"/>
        </w:rPr>
        <w:t>(or other) lender financing letter that includes the language necessary for scoring Financial Feasibility points.</w:t>
      </w:r>
    </w:p>
    <w:sectPr w:rsidR="009E411E" w:rsidRPr="00D93FB1" w:rsidSect="004D17BD">
      <w:footerReference w:type="defaul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3D5" w14:textId="77777777" w:rsidR="00BB1D73" w:rsidRDefault="00BB1D73" w:rsidP="0015321A">
      <w:r>
        <w:separator/>
      </w:r>
    </w:p>
  </w:endnote>
  <w:endnote w:type="continuationSeparator" w:id="0">
    <w:p w14:paraId="305E02B3" w14:textId="77777777" w:rsidR="00BB1D73" w:rsidRDefault="00BB1D73" w:rsidP="0015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75A8" w14:textId="66D4EE8C" w:rsidR="0054352C" w:rsidRDefault="00385B7D">
    <w:pPr>
      <w:pStyle w:val="Footer"/>
      <w:jc w:val="center"/>
    </w:pPr>
    <w:r>
      <w:fldChar w:fldCharType="begin"/>
    </w:r>
    <w:r>
      <w:instrText xml:space="preserve"> PAGE   \* MERGEFORMAT </w:instrText>
    </w:r>
    <w:r>
      <w:fldChar w:fldCharType="separate"/>
    </w:r>
    <w:r w:rsidR="009E411E">
      <w:rPr>
        <w:noProof/>
      </w:rPr>
      <w:t>8</w:t>
    </w:r>
    <w:r>
      <w:rPr>
        <w:noProof/>
      </w:rPr>
      <w:fldChar w:fldCharType="end"/>
    </w:r>
  </w:p>
  <w:p w14:paraId="69566BD8" w14:textId="77777777" w:rsidR="0054352C" w:rsidRDefault="0054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FA64" w14:textId="77777777" w:rsidR="00BB1D73" w:rsidRDefault="00BB1D73" w:rsidP="0015321A">
      <w:r>
        <w:separator/>
      </w:r>
    </w:p>
  </w:footnote>
  <w:footnote w:type="continuationSeparator" w:id="0">
    <w:p w14:paraId="2D0523CF" w14:textId="77777777" w:rsidR="00BB1D73" w:rsidRDefault="00BB1D73" w:rsidP="0015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9F8"/>
    <w:multiLevelType w:val="hybridMultilevel"/>
    <w:tmpl w:val="9EE8940C"/>
    <w:lvl w:ilvl="0" w:tplc="2F66D312">
      <w:start w:val="1"/>
      <w:numFmt w:val="bullet"/>
      <w:lvlText w:val=""/>
      <w:lvlJc w:val="left"/>
      <w:pPr>
        <w:ind w:left="63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03394"/>
    <w:multiLevelType w:val="hybridMultilevel"/>
    <w:tmpl w:val="5FD85A9C"/>
    <w:lvl w:ilvl="0" w:tplc="57A2462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07DE6"/>
    <w:multiLevelType w:val="hybridMultilevel"/>
    <w:tmpl w:val="7A92BB8A"/>
    <w:lvl w:ilvl="0" w:tplc="04090005">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4AD457A"/>
    <w:multiLevelType w:val="hybridMultilevel"/>
    <w:tmpl w:val="489292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0114AF"/>
    <w:multiLevelType w:val="multilevel"/>
    <w:tmpl w:val="4CE45F5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EBF2136"/>
    <w:multiLevelType w:val="hybridMultilevel"/>
    <w:tmpl w:val="014067D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332D24"/>
    <w:multiLevelType w:val="hybridMultilevel"/>
    <w:tmpl w:val="1722DE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4C3C06"/>
    <w:multiLevelType w:val="hybridMultilevel"/>
    <w:tmpl w:val="06C2BC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326F64"/>
    <w:multiLevelType w:val="hybridMultilevel"/>
    <w:tmpl w:val="E1D2D6D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91FF4"/>
    <w:multiLevelType w:val="hybridMultilevel"/>
    <w:tmpl w:val="5930FDD8"/>
    <w:lvl w:ilvl="0" w:tplc="04090001">
      <w:start w:val="1"/>
      <w:numFmt w:val="bullet"/>
      <w:lvlText w:val=""/>
      <w:lvlJc w:val="left"/>
      <w:pPr>
        <w:tabs>
          <w:tab w:val="num" w:pos="2160"/>
        </w:tabs>
        <w:ind w:left="2160" w:hanging="360"/>
      </w:pPr>
      <w:rPr>
        <w:rFonts w:ascii="Symbol" w:hAnsi="Symbol" w:hint="default"/>
        <w:i w:val="0"/>
      </w:rPr>
    </w:lvl>
    <w:lvl w:ilvl="1" w:tplc="04090019">
      <w:start w:val="1"/>
      <w:numFmt w:val="lowerLetter"/>
      <w:lvlText w:val="%2."/>
      <w:lvlJc w:val="left"/>
      <w:pPr>
        <w:tabs>
          <w:tab w:val="num" w:pos="2880"/>
        </w:tabs>
        <w:ind w:left="2880" w:hanging="360"/>
      </w:pPr>
    </w:lvl>
    <w:lvl w:ilvl="2" w:tplc="04090001">
      <w:start w:val="1"/>
      <w:numFmt w:val="bullet"/>
      <w:lvlText w:val=""/>
      <w:lvlJc w:val="left"/>
      <w:pPr>
        <w:tabs>
          <w:tab w:val="num" w:pos="3780"/>
        </w:tabs>
        <w:ind w:left="3780" w:hanging="360"/>
      </w:pPr>
      <w:rPr>
        <w:rFonts w:ascii="Symbol" w:hAnsi="Symbol" w:hint="default"/>
        <w:i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50010D21"/>
    <w:multiLevelType w:val="hybridMultilevel"/>
    <w:tmpl w:val="DD92AC06"/>
    <w:lvl w:ilvl="0" w:tplc="2F66D312">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6560D6"/>
    <w:multiLevelType w:val="hybridMultilevel"/>
    <w:tmpl w:val="8B026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1F4843"/>
    <w:multiLevelType w:val="hybridMultilevel"/>
    <w:tmpl w:val="E96C63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485E5C"/>
    <w:multiLevelType w:val="hybridMultilevel"/>
    <w:tmpl w:val="4DC00E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9A011C"/>
    <w:multiLevelType w:val="hybridMultilevel"/>
    <w:tmpl w:val="9D02F9BC"/>
    <w:lvl w:ilvl="0" w:tplc="2F66D31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FAE3059"/>
    <w:multiLevelType w:val="hybridMultilevel"/>
    <w:tmpl w:val="5A689D0C"/>
    <w:lvl w:ilvl="0" w:tplc="5572467C">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82412"/>
    <w:multiLevelType w:val="hybridMultilevel"/>
    <w:tmpl w:val="E4289566"/>
    <w:lvl w:ilvl="0" w:tplc="0409000F">
      <w:start w:val="1"/>
      <w:numFmt w:val="decimal"/>
      <w:lvlText w:val="%1."/>
      <w:lvlJc w:val="left"/>
      <w:pPr>
        <w:tabs>
          <w:tab w:val="num" w:pos="1817"/>
        </w:tabs>
        <w:ind w:left="1817" w:hanging="360"/>
      </w:pPr>
    </w:lvl>
    <w:lvl w:ilvl="1" w:tplc="04090019" w:tentative="1">
      <w:start w:val="1"/>
      <w:numFmt w:val="lowerLetter"/>
      <w:lvlText w:val="%2."/>
      <w:lvlJc w:val="left"/>
      <w:pPr>
        <w:tabs>
          <w:tab w:val="num" w:pos="2537"/>
        </w:tabs>
        <w:ind w:left="2537" w:hanging="360"/>
      </w:pPr>
    </w:lvl>
    <w:lvl w:ilvl="2" w:tplc="0409001B" w:tentative="1">
      <w:start w:val="1"/>
      <w:numFmt w:val="lowerRoman"/>
      <w:lvlText w:val="%3."/>
      <w:lvlJc w:val="right"/>
      <w:pPr>
        <w:tabs>
          <w:tab w:val="num" w:pos="3257"/>
        </w:tabs>
        <w:ind w:left="3257" w:hanging="180"/>
      </w:pPr>
    </w:lvl>
    <w:lvl w:ilvl="3" w:tplc="0409000F" w:tentative="1">
      <w:start w:val="1"/>
      <w:numFmt w:val="decimal"/>
      <w:lvlText w:val="%4."/>
      <w:lvlJc w:val="left"/>
      <w:pPr>
        <w:tabs>
          <w:tab w:val="num" w:pos="3977"/>
        </w:tabs>
        <w:ind w:left="3977" w:hanging="360"/>
      </w:pPr>
    </w:lvl>
    <w:lvl w:ilvl="4" w:tplc="04090019" w:tentative="1">
      <w:start w:val="1"/>
      <w:numFmt w:val="lowerLetter"/>
      <w:lvlText w:val="%5."/>
      <w:lvlJc w:val="left"/>
      <w:pPr>
        <w:tabs>
          <w:tab w:val="num" w:pos="4697"/>
        </w:tabs>
        <w:ind w:left="4697" w:hanging="360"/>
      </w:pPr>
    </w:lvl>
    <w:lvl w:ilvl="5" w:tplc="0409001B" w:tentative="1">
      <w:start w:val="1"/>
      <w:numFmt w:val="lowerRoman"/>
      <w:lvlText w:val="%6."/>
      <w:lvlJc w:val="right"/>
      <w:pPr>
        <w:tabs>
          <w:tab w:val="num" w:pos="5417"/>
        </w:tabs>
        <w:ind w:left="5417" w:hanging="180"/>
      </w:pPr>
    </w:lvl>
    <w:lvl w:ilvl="6" w:tplc="0409000F" w:tentative="1">
      <w:start w:val="1"/>
      <w:numFmt w:val="decimal"/>
      <w:lvlText w:val="%7."/>
      <w:lvlJc w:val="left"/>
      <w:pPr>
        <w:tabs>
          <w:tab w:val="num" w:pos="6137"/>
        </w:tabs>
        <w:ind w:left="6137" w:hanging="360"/>
      </w:pPr>
    </w:lvl>
    <w:lvl w:ilvl="7" w:tplc="04090019" w:tentative="1">
      <w:start w:val="1"/>
      <w:numFmt w:val="lowerLetter"/>
      <w:lvlText w:val="%8."/>
      <w:lvlJc w:val="left"/>
      <w:pPr>
        <w:tabs>
          <w:tab w:val="num" w:pos="6857"/>
        </w:tabs>
        <w:ind w:left="6857" w:hanging="360"/>
      </w:pPr>
    </w:lvl>
    <w:lvl w:ilvl="8" w:tplc="0409001B" w:tentative="1">
      <w:start w:val="1"/>
      <w:numFmt w:val="lowerRoman"/>
      <w:lvlText w:val="%9."/>
      <w:lvlJc w:val="right"/>
      <w:pPr>
        <w:tabs>
          <w:tab w:val="num" w:pos="7577"/>
        </w:tabs>
        <w:ind w:left="7577" w:hanging="180"/>
      </w:pPr>
    </w:lvl>
  </w:abstractNum>
  <w:abstractNum w:abstractNumId="17" w15:restartNumberingAfterBreak="0">
    <w:nsid w:val="70F10FA2"/>
    <w:multiLevelType w:val="hybridMultilevel"/>
    <w:tmpl w:val="F8A446EC"/>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num w:numId="1" w16cid:durableId="1797140363">
    <w:abstractNumId w:val="9"/>
  </w:num>
  <w:num w:numId="2" w16cid:durableId="462230911">
    <w:abstractNumId w:val="3"/>
  </w:num>
  <w:num w:numId="3" w16cid:durableId="1444962277">
    <w:abstractNumId w:val="12"/>
  </w:num>
  <w:num w:numId="4" w16cid:durableId="311300107">
    <w:abstractNumId w:val="0"/>
  </w:num>
  <w:num w:numId="5" w16cid:durableId="92360316">
    <w:abstractNumId w:val="2"/>
  </w:num>
  <w:num w:numId="6" w16cid:durableId="2036690213">
    <w:abstractNumId w:val="15"/>
  </w:num>
  <w:num w:numId="7" w16cid:durableId="1090809643">
    <w:abstractNumId w:val="16"/>
  </w:num>
  <w:num w:numId="8" w16cid:durableId="1505323172">
    <w:abstractNumId w:val="4"/>
  </w:num>
  <w:num w:numId="9" w16cid:durableId="2065058166">
    <w:abstractNumId w:val="5"/>
  </w:num>
  <w:num w:numId="10" w16cid:durableId="934704533">
    <w:abstractNumId w:val="17"/>
  </w:num>
  <w:num w:numId="11" w16cid:durableId="1661076358">
    <w:abstractNumId w:val="14"/>
  </w:num>
  <w:num w:numId="12" w16cid:durableId="884484670">
    <w:abstractNumId w:val="6"/>
  </w:num>
  <w:num w:numId="13" w16cid:durableId="408580750">
    <w:abstractNumId w:val="1"/>
  </w:num>
  <w:num w:numId="14" w16cid:durableId="891884488">
    <w:abstractNumId w:val="10"/>
  </w:num>
  <w:num w:numId="15" w16cid:durableId="1242174374">
    <w:abstractNumId w:val="11"/>
  </w:num>
  <w:num w:numId="16" w16cid:durableId="640352646">
    <w:abstractNumId w:val="13"/>
  </w:num>
  <w:num w:numId="17" w16cid:durableId="1828856799">
    <w:abstractNumId w:val="7"/>
  </w:num>
  <w:num w:numId="18" w16cid:durableId="215624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o7tddxfoMdFKLifBMUvFw8rGrKOP0DrUI9paOp0ay+EMPS3SmGaRvhQoFkQm0Zc+amZIy8CpGSAfWTjW5cWgA==" w:salt="vUm2vnGd/AKrDEtKA2AR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5"/>
    <w:rsid w:val="00001329"/>
    <w:rsid w:val="000064F6"/>
    <w:rsid w:val="0000691C"/>
    <w:rsid w:val="0001194B"/>
    <w:rsid w:val="0002145E"/>
    <w:rsid w:val="00024CC4"/>
    <w:rsid w:val="00032A8F"/>
    <w:rsid w:val="0003506B"/>
    <w:rsid w:val="000417A2"/>
    <w:rsid w:val="0005016E"/>
    <w:rsid w:val="00052A6B"/>
    <w:rsid w:val="00057643"/>
    <w:rsid w:val="0005781B"/>
    <w:rsid w:val="000625C3"/>
    <w:rsid w:val="0006293B"/>
    <w:rsid w:val="00062B9C"/>
    <w:rsid w:val="00062EA6"/>
    <w:rsid w:val="000639A0"/>
    <w:rsid w:val="0006462C"/>
    <w:rsid w:val="0006561A"/>
    <w:rsid w:val="000666F1"/>
    <w:rsid w:val="00076CAD"/>
    <w:rsid w:val="00081076"/>
    <w:rsid w:val="00083DB3"/>
    <w:rsid w:val="00087148"/>
    <w:rsid w:val="00091C3D"/>
    <w:rsid w:val="0009372E"/>
    <w:rsid w:val="000955DC"/>
    <w:rsid w:val="000975B7"/>
    <w:rsid w:val="0009764F"/>
    <w:rsid w:val="000A0BFF"/>
    <w:rsid w:val="000A3863"/>
    <w:rsid w:val="000B3077"/>
    <w:rsid w:val="000B369E"/>
    <w:rsid w:val="000B42B7"/>
    <w:rsid w:val="000B6AB3"/>
    <w:rsid w:val="000C4CC5"/>
    <w:rsid w:val="000C6EB9"/>
    <w:rsid w:val="000D2A13"/>
    <w:rsid w:val="000D6B37"/>
    <w:rsid w:val="000E0105"/>
    <w:rsid w:val="000E6AE0"/>
    <w:rsid w:val="000F2870"/>
    <w:rsid w:val="000F6657"/>
    <w:rsid w:val="000F6BF6"/>
    <w:rsid w:val="001004D4"/>
    <w:rsid w:val="001047CA"/>
    <w:rsid w:val="00104DD2"/>
    <w:rsid w:val="001058D8"/>
    <w:rsid w:val="00110449"/>
    <w:rsid w:val="00114CA3"/>
    <w:rsid w:val="001266DB"/>
    <w:rsid w:val="001268E2"/>
    <w:rsid w:val="00131790"/>
    <w:rsid w:val="00131A1C"/>
    <w:rsid w:val="0013234E"/>
    <w:rsid w:val="001325E9"/>
    <w:rsid w:val="001356E5"/>
    <w:rsid w:val="001360DE"/>
    <w:rsid w:val="0015321A"/>
    <w:rsid w:val="00157AAF"/>
    <w:rsid w:val="0016353C"/>
    <w:rsid w:val="00165BDC"/>
    <w:rsid w:val="00171BE0"/>
    <w:rsid w:val="00173733"/>
    <w:rsid w:val="00174C39"/>
    <w:rsid w:val="00184BBE"/>
    <w:rsid w:val="00185263"/>
    <w:rsid w:val="00190F4C"/>
    <w:rsid w:val="00192A45"/>
    <w:rsid w:val="00194064"/>
    <w:rsid w:val="00194A21"/>
    <w:rsid w:val="00195516"/>
    <w:rsid w:val="00196231"/>
    <w:rsid w:val="001A1211"/>
    <w:rsid w:val="001A2144"/>
    <w:rsid w:val="001B09AE"/>
    <w:rsid w:val="001B46A5"/>
    <w:rsid w:val="001B5706"/>
    <w:rsid w:val="001C0C0F"/>
    <w:rsid w:val="001D55E2"/>
    <w:rsid w:val="001E34B7"/>
    <w:rsid w:val="001E3F8C"/>
    <w:rsid w:val="001E4D21"/>
    <w:rsid w:val="001E5611"/>
    <w:rsid w:val="001F3AAB"/>
    <w:rsid w:val="001F5AA1"/>
    <w:rsid w:val="001F72E8"/>
    <w:rsid w:val="0020103B"/>
    <w:rsid w:val="00201D24"/>
    <w:rsid w:val="00204634"/>
    <w:rsid w:val="002070D7"/>
    <w:rsid w:val="0020750D"/>
    <w:rsid w:val="00222DC8"/>
    <w:rsid w:val="00223F08"/>
    <w:rsid w:val="002259B3"/>
    <w:rsid w:val="00226AD2"/>
    <w:rsid w:val="002272EF"/>
    <w:rsid w:val="00227798"/>
    <w:rsid w:val="00227AE5"/>
    <w:rsid w:val="00235BC3"/>
    <w:rsid w:val="00236119"/>
    <w:rsid w:val="00236500"/>
    <w:rsid w:val="00243BC1"/>
    <w:rsid w:val="00246DAA"/>
    <w:rsid w:val="00254E56"/>
    <w:rsid w:val="002556CA"/>
    <w:rsid w:val="00257EEE"/>
    <w:rsid w:val="00260C3F"/>
    <w:rsid w:val="00262D41"/>
    <w:rsid w:val="002639C1"/>
    <w:rsid w:val="0026415F"/>
    <w:rsid w:val="00264FBF"/>
    <w:rsid w:val="00266074"/>
    <w:rsid w:val="002673FD"/>
    <w:rsid w:val="00270580"/>
    <w:rsid w:val="00271C6D"/>
    <w:rsid w:val="00273558"/>
    <w:rsid w:val="002736C8"/>
    <w:rsid w:val="00276930"/>
    <w:rsid w:val="0028155B"/>
    <w:rsid w:val="002863A1"/>
    <w:rsid w:val="00286F39"/>
    <w:rsid w:val="002959A3"/>
    <w:rsid w:val="002965FD"/>
    <w:rsid w:val="002A4630"/>
    <w:rsid w:val="002A6E47"/>
    <w:rsid w:val="002A7F5C"/>
    <w:rsid w:val="002B3844"/>
    <w:rsid w:val="002B7C19"/>
    <w:rsid w:val="002C3692"/>
    <w:rsid w:val="002C3D03"/>
    <w:rsid w:val="002C5829"/>
    <w:rsid w:val="002D5C90"/>
    <w:rsid w:val="002D676D"/>
    <w:rsid w:val="002E0089"/>
    <w:rsid w:val="002E517D"/>
    <w:rsid w:val="002F23A5"/>
    <w:rsid w:val="002F2989"/>
    <w:rsid w:val="002F37B1"/>
    <w:rsid w:val="002F4401"/>
    <w:rsid w:val="002F5B61"/>
    <w:rsid w:val="002F6D9B"/>
    <w:rsid w:val="003001C9"/>
    <w:rsid w:val="003037D8"/>
    <w:rsid w:val="003041C8"/>
    <w:rsid w:val="00310844"/>
    <w:rsid w:val="00311213"/>
    <w:rsid w:val="00311988"/>
    <w:rsid w:val="00317565"/>
    <w:rsid w:val="00324B40"/>
    <w:rsid w:val="00332D0D"/>
    <w:rsid w:val="00337F4F"/>
    <w:rsid w:val="0034561C"/>
    <w:rsid w:val="00345EF6"/>
    <w:rsid w:val="003477D2"/>
    <w:rsid w:val="0035101F"/>
    <w:rsid w:val="0035295F"/>
    <w:rsid w:val="00353139"/>
    <w:rsid w:val="003532D4"/>
    <w:rsid w:val="003564EA"/>
    <w:rsid w:val="00357EAE"/>
    <w:rsid w:val="003604EA"/>
    <w:rsid w:val="00367070"/>
    <w:rsid w:val="00367786"/>
    <w:rsid w:val="003677EA"/>
    <w:rsid w:val="00374D79"/>
    <w:rsid w:val="00375AFD"/>
    <w:rsid w:val="003771D0"/>
    <w:rsid w:val="00383042"/>
    <w:rsid w:val="00385B7D"/>
    <w:rsid w:val="003902A8"/>
    <w:rsid w:val="00391152"/>
    <w:rsid w:val="00397CC3"/>
    <w:rsid w:val="003A43AE"/>
    <w:rsid w:val="003A71F9"/>
    <w:rsid w:val="003B4B8D"/>
    <w:rsid w:val="003B522B"/>
    <w:rsid w:val="003B7852"/>
    <w:rsid w:val="003C2A70"/>
    <w:rsid w:val="003C36D5"/>
    <w:rsid w:val="003C4721"/>
    <w:rsid w:val="003C54AB"/>
    <w:rsid w:val="003C5614"/>
    <w:rsid w:val="003C6F88"/>
    <w:rsid w:val="003D14BD"/>
    <w:rsid w:val="003D3A18"/>
    <w:rsid w:val="003D3BB7"/>
    <w:rsid w:val="003D5381"/>
    <w:rsid w:val="003D5EE4"/>
    <w:rsid w:val="003E0FC4"/>
    <w:rsid w:val="003E3A36"/>
    <w:rsid w:val="003E5224"/>
    <w:rsid w:val="003E6559"/>
    <w:rsid w:val="003E6D95"/>
    <w:rsid w:val="003E7E41"/>
    <w:rsid w:val="003F4263"/>
    <w:rsid w:val="003F730C"/>
    <w:rsid w:val="003F7986"/>
    <w:rsid w:val="0040304C"/>
    <w:rsid w:val="0041132D"/>
    <w:rsid w:val="00411F17"/>
    <w:rsid w:val="004176B7"/>
    <w:rsid w:val="00417982"/>
    <w:rsid w:val="00417A27"/>
    <w:rsid w:val="00421747"/>
    <w:rsid w:val="004227C8"/>
    <w:rsid w:val="0042598B"/>
    <w:rsid w:val="00426135"/>
    <w:rsid w:val="0043180F"/>
    <w:rsid w:val="004345AE"/>
    <w:rsid w:val="00436506"/>
    <w:rsid w:val="004406BE"/>
    <w:rsid w:val="00443B58"/>
    <w:rsid w:val="00445F34"/>
    <w:rsid w:val="00450A85"/>
    <w:rsid w:val="004516C5"/>
    <w:rsid w:val="00454DFC"/>
    <w:rsid w:val="0046030A"/>
    <w:rsid w:val="00462654"/>
    <w:rsid w:val="00465D26"/>
    <w:rsid w:val="004668A9"/>
    <w:rsid w:val="00467962"/>
    <w:rsid w:val="00472B8F"/>
    <w:rsid w:val="004754D4"/>
    <w:rsid w:val="00480446"/>
    <w:rsid w:val="0049104A"/>
    <w:rsid w:val="004969EF"/>
    <w:rsid w:val="004979FC"/>
    <w:rsid w:val="004A0675"/>
    <w:rsid w:val="004A0A84"/>
    <w:rsid w:val="004A72CC"/>
    <w:rsid w:val="004A7DFA"/>
    <w:rsid w:val="004B7105"/>
    <w:rsid w:val="004C02C5"/>
    <w:rsid w:val="004C0BD0"/>
    <w:rsid w:val="004C290C"/>
    <w:rsid w:val="004C3C13"/>
    <w:rsid w:val="004D0595"/>
    <w:rsid w:val="004D17BD"/>
    <w:rsid w:val="004D7538"/>
    <w:rsid w:val="004D7CE6"/>
    <w:rsid w:val="004E1183"/>
    <w:rsid w:val="004E7FFA"/>
    <w:rsid w:val="004F13F2"/>
    <w:rsid w:val="004F19A7"/>
    <w:rsid w:val="004F32A0"/>
    <w:rsid w:val="004F63C8"/>
    <w:rsid w:val="0050066F"/>
    <w:rsid w:val="00503771"/>
    <w:rsid w:val="00503AC2"/>
    <w:rsid w:val="005051EF"/>
    <w:rsid w:val="00505F99"/>
    <w:rsid w:val="00507D67"/>
    <w:rsid w:val="00522CDC"/>
    <w:rsid w:val="00524DBC"/>
    <w:rsid w:val="005261C3"/>
    <w:rsid w:val="00526F5A"/>
    <w:rsid w:val="005272F8"/>
    <w:rsid w:val="00532C70"/>
    <w:rsid w:val="005335EF"/>
    <w:rsid w:val="0054352C"/>
    <w:rsid w:val="00544CD1"/>
    <w:rsid w:val="005450D5"/>
    <w:rsid w:val="00545359"/>
    <w:rsid w:val="005455FE"/>
    <w:rsid w:val="00545DE5"/>
    <w:rsid w:val="00557E5D"/>
    <w:rsid w:val="00560722"/>
    <w:rsid w:val="00566380"/>
    <w:rsid w:val="00566CFF"/>
    <w:rsid w:val="00567972"/>
    <w:rsid w:val="005734C5"/>
    <w:rsid w:val="005737DA"/>
    <w:rsid w:val="00577A53"/>
    <w:rsid w:val="00581586"/>
    <w:rsid w:val="005904CB"/>
    <w:rsid w:val="00592008"/>
    <w:rsid w:val="00594B6D"/>
    <w:rsid w:val="00596B41"/>
    <w:rsid w:val="005A726F"/>
    <w:rsid w:val="005B1C38"/>
    <w:rsid w:val="005B2898"/>
    <w:rsid w:val="005B5030"/>
    <w:rsid w:val="005B7120"/>
    <w:rsid w:val="005B7131"/>
    <w:rsid w:val="005B7697"/>
    <w:rsid w:val="005C2BD5"/>
    <w:rsid w:val="005C3133"/>
    <w:rsid w:val="005D2ECF"/>
    <w:rsid w:val="005D6003"/>
    <w:rsid w:val="005D759E"/>
    <w:rsid w:val="005E2588"/>
    <w:rsid w:val="005E3289"/>
    <w:rsid w:val="005E5C4E"/>
    <w:rsid w:val="005E7AD0"/>
    <w:rsid w:val="005F1144"/>
    <w:rsid w:val="005F4B0F"/>
    <w:rsid w:val="005F674A"/>
    <w:rsid w:val="005F68EF"/>
    <w:rsid w:val="005F6E93"/>
    <w:rsid w:val="00600640"/>
    <w:rsid w:val="00603B05"/>
    <w:rsid w:val="00604C74"/>
    <w:rsid w:val="00606AEF"/>
    <w:rsid w:val="00611448"/>
    <w:rsid w:val="00612BDD"/>
    <w:rsid w:val="00617F73"/>
    <w:rsid w:val="00621FAA"/>
    <w:rsid w:val="00627003"/>
    <w:rsid w:val="00631233"/>
    <w:rsid w:val="006333CB"/>
    <w:rsid w:val="00635235"/>
    <w:rsid w:val="0064159C"/>
    <w:rsid w:val="00642D39"/>
    <w:rsid w:val="00644B39"/>
    <w:rsid w:val="00645634"/>
    <w:rsid w:val="00650EA2"/>
    <w:rsid w:val="00652134"/>
    <w:rsid w:val="006534CE"/>
    <w:rsid w:val="006561FD"/>
    <w:rsid w:val="0065642B"/>
    <w:rsid w:val="00662437"/>
    <w:rsid w:val="00662C27"/>
    <w:rsid w:val="00681A00"/>
    <w:rsid w:val="0069038F"/>
    <w:rsid w:val="006931AE"/>
    <w:rsid w:val="00693614"/>
    <w:rsid w:val="006969E6"/>
    <w:rsid w:val="0069799B"/>
    <w:rsid w:val="006A04F5"/>
    <w:rsid w:val="006A0981"/>
    <w:rsid w:val="006A2DFC"/>
    <w:rsid w:val="006A3FB8"/>
    <w:rsid w:val="006B2EE7"/>
    <w:rsid w:val="006B598D"/>
    <w:rsid w:val="006B5E41"/>
    <w:rsid w:val="006B6464"/>
    <w:rsid w:val="006B7A52"/>
    <w:rsid w:val="006C14BF"/>
    <w:rsid w:val="006C2B58"/>
    <w:rsid w:val="006C674E"/>
    <w:rsid w:val="006D0422"/>
    <w:rsid w:val="006D4EBD"/>
    <w:rsid w:val="006F3798"/>
    <w:rsid w:val="006F4489"/>
    <w:rsid w:val="007006CB"/>
    <w:rsid w:val="00701D31"/>
    <w:rsid w:val="0070243F"/>
    <w:rsid w:val="00702473"/>
    <w:rsid w:val="00702613"/>
    <w:rsid w:val="007046B8"/>
    <w:rsid w:val="007070F0"/>
    <w:rsid w:val="00711FCE"/>
    <w:rsid w:val="00714172"/>
    <w:rsid w:val="007168C3"/>
    <w:rsid w:val="00720CD4"/>
    <w:rsid w:val="00722AF5"/>
    <w:rsid w:val="00723672"/>
    <w:rsid w:val="007247DA"/>
    <w:rsid w:val="00731107"/>
    <w:rsid w:val="00731C50"/>
    <w:rsid w:val="00733D73"/>
    <w:rsid w:val="0074127F"/>
    <w:rsid w:val="00741892"/>
    <w:rsid w:val="00743248"/>
    <w:rsid w:val="007503F8"/>
    <w:rsid w:val="00752F7E"/>
    <w:rsid w:val="00754228"/>
    <w:rsid w:val="00755FE8"/>
    <w:rsid w:val="00762405"/>
    <w:rsid w:val="00763914"/>
    <w:rsid w:val="00766A61"/>
    <w:rsid w:val="00767FD8"/>
    <w:rsid w:val="00772B81"/>
    <w:rsid w:val="00772BCA"/>
    <w:rsid w:val="00773740"/>
    <w:rsid w:val="00774798"/>
    <w:rsid w:val="007800FF"/>
    <w:rsid w:val="007807EE"/>
    <w:rsid w:val="0078552E"/>
    <w:rsid w:val="00785A39"/>
    <w:rsid w:val="0079391A"/>
    <w:rsid w:val="00793934"/>
    <w:rsid w:val="00794136"/>
    <w:rsid w:val="007B36D6"/>
    <w:rsid w:val="007B653E"/>
    <w:rsid w:val="007C07D5"/>
    <w:rsid w:val="007C334E"/>
    <w:rsid w:val="007C35CF"/>
    <w:rsid w:val="007C482A"/>
    <w:rsid w:val="007C7A48"/>
    <w:rsid w:val="007C7B9B"/>
    <w:rsid w:val="007D3299"/>
    <w:rsid w:val="007D6999"/>
    <w:rsid w:val="007D6EFE"/>
    <w:rsid w:val="007E25BF"/>
    <w:rsid w:val="007E2B47"/>
    <w:rsid w:val="007E2D68"/>
    <w:rsid w:val="007E4593"/>
    <w:rsid w:val="007E6797"/>
    <w:rsid w:val="007F4638"/>
    <w:rsid w:val="007F69C3"/>
    <w:rsid w:val="007F6E0E"/>
    <w:rsid w:val="008008C3"/>
    <w:rsid w:val="00801817"/>
    <w:rsid w:val="00803608"/>
    <w:rsid w:val="00810E16"/>
    <w:rsid w:val="00812684"/>
    <w:rsid w:val="00813678"/>
    <w:rsid w:val="00814122"/>
    <w:rsid w:val="008164BB"/>
    <w:rsid w:val="00817A09"/>
    <w:rsid w:val="00821DF1"/>
    <w:rsid w:val="0083162A"/>
    <w:rsid w:val="00832BCE"/>
    <w:rsid w:val="0083318E"/>
    <w:rsid w:val="008344AA"/>
    <w:rsid w:val="00834777"/>
    <w:rsid w:val="00837613"/>
    <w:rsid w:val="00843D0D"/>
    <w:rsid w:val="00845059"/>
    <w:rsid w:val="008460D5"/>
    <w:rsid w:val="0085206C"/>
    <w:rsid w:val="00856D89"/>
    <w:rsid w:val="0085709D"/>
    <w:rsid w:val="0086088A"/>
    <w:rsid w:val="008614FD"/>
    <w:rsid w:val="00861CEC"/>
    <w:rsid w:val="008636EE"/>
    <w:rsid w:val="008640D3"/>
    <w:rsid w:val="008769C2"/>
    <w:rsid w:val="0089134E"/>
    <w:rsid w:val="00891867"/>
    <w:rsid w:val="008927A1"/>
    <w:rsid w:val="0089576E"/>
    <w:rsid w:val="008A142B"/>
    <w:rsid w:val="008A22F1"/>
    <w:rsid w:val="008A2514"/>
    <w:rsid w:val="008A342F"/>
    <w:rsid w:val="008A36D9"/>
    <w:rsid w:val="008A57C0"/>
    <w:rsid w:val="008A69AE"/>
    <w:rsid w:val="008A7821"/>
    <w:rsid w:val="008B72B3"/>
    <w:rsid w:val="008C13A5"/>
    <w:rsid w:val="008C41CD"/>
    <w:rsid w:val="008C4BCF"/>
    <w:rsid w:val="008D133C"/>
    <w:rsid w:val="008D597A"/>
    <w:rsid w:val="008D5CD9"/>
    <w:rsid w:val="008E582F"/>
    <w:rsid w:val="008F7AD3"/>
    <w:rsid w:val="008F7F45"/>
    <w:rsid w:val="0090051F"/>
    <w:rsid w:val="009059E8"/>
    <w:rsid w:val="00905C4D"/>
    <w:rsid w:val="00906DFF"/>
    <w:rsid w:val="00907056"/>
    <w:rsid w:val="00912823"/>
    <w:rsid w:val="00914D8C"/>
    <w:rsid w:val="00924FB6"/>
    <w:rsid w:val="00942896"/>
    <w:rsid w:val="0094685A"/>
    <w:rsid w:val="0095014F"/>
    <w:rsid w:val="00952195"/>
    <w:rsid w:val="00952DE2"/>
    <w:rsid w:val="00960506"/>
    <w:rsid w:val="009613FB"/>
    <w:rsid w:val="00961659"/>
    <w:rsid w:val="00962B06"/>
    <w:rsid w:val="00965039"/>
    <w:rsid w:val="00965559"/>
    <w:rsid w:val="00970E2A"/>
    <w:rsid w:val="009714A6"/>
    <w:rsid w:val="00973A21"/>
    <w:rsid w:val="00974C9F"/>
    <w:rsid w:val="00982DCF"/>
    <w:rsid w:val="009853C2"/>
    <w:rsid w:val="0099043D"/>
    <w:rsid w:val="009952FF"/>
    <w:rsid w:val="009969F2"/>
    <w:rsid w:val="00996F3C"/>
    <w:rsid w:val="009A0509"/>
    <w:rsid w:val="009A2037"/>
    <w:rsid w:val="009A26E1"/>
    <w:rsid w:val="009A2916"/>
    <w:rsid w:val="009A33C1"/>
    <w:rsid w:val="009A3946"/>
    <w:rsid w:val="009A59F3"/>
    <w:rsid w:val="009A774E"/>
    <w:rsid w:val="009B4EC5"/>
    <w:rsid w:val="009B709D"/>
    <w:rsid w:val="009C1E2C"/>
    <w:rsid w:val="009C35FA"/>
    <w:rsid w:val="009C54FA"/>
    <w:rsid w:val="009C598C"/>
    <w:rsid w:val="009C5CCB"/>
    <w:rsid w:val="009C60FF"/>
    <w:rsid w:val="009C7E2C"/>
    <w:rsid w:val="009D2A8C"/>
    <w:rsid w:val="009D589A"/>
    <w:rsid w:val="009D6D3D"/>
    <w:rsid w:val="009D76D1"/>
    <w:rsid w:val="009E4033"/>
    <w:rsid w:val="009E411E"/>
    <w:rsid w:val="009F53B4"/>
    <w:rsid w:val="009F53E2"/>
    <w:rsid w:val="009F57E5"/>
    <w:rsid w:val="009F7E9E"/>
    <w:rsid w:val="00A049C5"/>
    <w:rsid w:val="00A101F0"/>
    <w:rsid w:val="00A1103D"/>
    <w:rsid w:val="00A11F45"/>
    <w:rsid w:val="00A12719"/>
    <w:rsid w:val="00A200C9"/>
    <w:rsid w:val="00A236C1"/>
    <w:rsid w:val="00A2399E"/>
    <w:rsid w:val="00A27BAA"/>
    <w:rsid w:val="00A36EF5"/>
    <w:rsid w:val="00A414E9"/>
    <w:rsid w:val="00A45420"/>
    <w:rsid w:val="00A47CFD"/>
    <w:rsid w:val="00A50F58"/>
    <w:rsid w:val="00A63636"/>
    <w:rsid w:val="00A6405E"/>
    <w:rsid w:val="00A67506"/>
    <w:rsid w:val="00A67EF9"/>
    <w:rsid w:val="00A72E21"/>
    <w:rsid w:val="00A74C64"/>
    <w:rsid w:val="00A77B72"/>
    <w:rsid w:val="00A927B7"/>
    <w:rsid w:val="00A931FD"/>
    <w:rsid w:val="00A9464D"/>
    <w:rsid w:val="00A96513"/>
    <w:rsid w:val="00A96CEC"/>
    <w:rsid w:val="00A97BEE"/>
    <w:rsid w:val="00AA54B0"/>
    <w:rsid w:val="00AA5B3E"/>
    <w:rsid w:val="00AB4907"/>
    <w:rsid w:val="00AB6220"/>
    <w:rsid w:val="00AB6A84"/>
    <w:rsid w:val="00AC2DC0"/>
    <w:rsid w:val="00AC7FD6"/>
    <w:rsid w:val="00AD29FE"/>
    <w:rsid w:val="00AD7D3F"/>
    <w:rsid w:val="00AD7FBB"/>
    <w:rsid w:val="00AE49DB"/>
    <w:rsid w:val="00AF1220"/>
    <w:rsid w:val="00AF490F"/>
    <w:rsid w:val="00AF53C1"/>
    <w:rsid w:val="00AF6172"/>
    <w:rsid w:val="00B01DBB"/>
    <w:rsid w:val="00B028FF"/>
    <w:rsid w:val="00B050AB"/>
    <w:rsid w:val="00B1595E"/>
    <w:rsid w:val="00B17F9A"/>
    <w:rsid w:val="00B21DC0"/>
    <w:rsid w:val="00B22CA7"/>
    <w:rsid w:val="00B245A0"/>
    <w:rsid w:val="00B30B8E"/>
    <w:rsid w:val="00B362F1"/>
    <w:rsid w:val="00B37D9D"/>
    <w:rsid w:val="00B40CCF"/>
    <w:rsid w:val="00B40D9C"/>
    <w:rsid w:val="00B4137A"/>
    <w:rsid w:val="00B4635E"/>
    <w:rsid w:val="00B51618"/>
    <w:rsid w:val="00B53D8A"/>
    <w:rsid w:val="00B54C7C"/>
    <w:rsid w:val="00B55E04"/>
    <w:rsid w:val="00B56299"/>
    <w:rsid w:val="00B71659"/>
    <w:rsid w:val="00B71A9D"/>
    <w:rsid w:val="00B729B0"/>
    <w:rsid w:val="00B73315"/>
    <w:rsid w:val="00B736A6"/>
    <w:rsid w:val="00B75E99"/>
    <w:rsid w:val="00B80EE3"/>
    <w:rsid w:val="00B8325D"/>
    <w:rsid w:val="00B83DFE"/>
    <w:rsid w:val="00B83EA4"/>
    <w:rsid w:val="00B90973"/>
    <w:rsid w:val="00B95469"/>
    <w:rsid w:val="00B963AF"/>
    <w:rsid w:val="00B9733B"/>
    <w:rsid w:val="00BA3F54"/>
    <w:rsid w:val="00BB1D73"/>
    <w:rsid w:val="00BB3F1C"/>
    <w:rsid w:val="00BB4A0B"/>
    <w:rsid w:val="00BC00D5"/>
    <w:rsid w:val="00BC0DE4"/>
    <w:rsid w:val="00BC2A43"/>
    <w:rsid w:val="00BC3CE1"/>
    <w:rsid w:val="00BC55F6"/>
    <w:rsid w:val="00BD0272"/>
    <w:rsid w:val="00BD14A6"/>
    <w:rsid w:val="00BD454C"/>
    <w:rsid w:val="00BD51F9"/>
    <w:rsid w:val="00BE009B"/>
    <w:rsid w:val="00BE304C"/>
    <w:rsid w:val="00BE48D7"/>
    <w:rsid w:val="00BF0909"/>
    <w:rsid w:val="00BF39C3"/>
    <w:rsid w:val="00BF4DEC"/>
    <w:rsid w:val="00BF68F0"/>
    <w:rsid w:val="00C021E1"/>
    <w:rsid w:val="00C06E1D"/>
    <w:rsid w:val="00C06EF7"/>
    <w:rsid w:val="00C07753"/>
    <w:rsid w:val="00C13CCA"/>
    <w:rsid w:val="00C2047D"/>
    <w:rsid w:val="00C25214"/>
    <w:rsid w:val="00C258DB"/>
    <w:rsid w:val="00C3062B"/>
    <w:rsid w:val="00C30FE0"/>
    <w:rsid w:val="00C3142E"/>
    <w:rsid w:val="00C3641D"/>
    <w:rsid w:val="00C37A66"/>
    <w:rsid w:val="00C37C29"/>
    <w:rsid w:val="00C37DD6"/>
    <w:rsid w:val="00C40D6C"/>
    <w:rsid w:val="00C40FB9"/>
    <w:rsid w:val="00C41EAD"/>
    <w:rsid w:val="00C4219D"/>
    <w:rsid w:val="00C462E8"/>
    <w:rsid w:val="00C52FB0"/>
    <w:rsid w:val="00C5484A"/>
    <w:rsid w:val="00C55B2C"/>
    <w:rsid w:val="00C6067B"/>
    <w:rsid w:val="00C61164"/>
    <w:rsid w:val="00C62F02"/>
    <w:rsid w:val="00C65D3B"/>
    <w:rsid w:val="00C773AA"/>
    <w:rsid w:val="00C84B65"/>
    <w:rsid w:val="00C86A7F"/>
    <w:rsid w:val="00C86A97"/>
    <w:rsid w:val="00C9185A"/>
    <w:rsid w:val="00C95D1A"/>
    <w:rsid w:val="00CA58B5"/>
    <w:rsid w:val="00CB2C47"/>
    <w:rsid w:val="00CB49E9"/>
    <w:rsid w:val="00CC2EE1"/>
    <w:rsid w:val="00CC6594"/>
    <w:rsid w:val="00CD29AD"/>
    <w:rsid w:val="00CE6F45"/>
    <w:rsid w:val="00CF0AB8"/>
    <w:rsid w:val="00CF40B7"/>
    <w:rsid w:val="00D008F5"/>
    <w:rsid w:val="00D13300"/>
    <w:rsid w:val="00D143CD"/>
    <w:rsid w:val="00D14BE3"/>
    <w:rsid w:val="00D17D9D"/>
    <w:rsid w:val="00D2144D"/>
    <w:rsid w:val="00D215D9"/>
    <w:rsid w:val="00D24750"/>
    <w:rsid w:val="00D26994"/>
    <w:rsid w:val="00D27983"/>
    <w:rsid w:val="00D40A11"/>
    <w:rsid w:val="00D41801"/>
    <w:rsid w:val="00D44552"/>
    <w:rsid w:val="00D451FF"/>
    <w:rsid w:val="00D603BD"/>
    <w:rsid w:val="00D70ADB"/>
    <w:rsid w:val="00D72B1C"/>
    <w:rsid w:val="00D735B4"/>
    <w:rsid w:val="00D810FD"/>
    <w:rsid w:val="00D87823"/>
    <w:rsid w:val="00D91D5B"/>
    <w:rsid w:val="00D93FB1"/>
    <w:rsid w:val="00D941D7"/>
    <w:rsid w:val="00D95AAD"/>
    <w:rsid w:val="00D9629C"/>
    <w:rsid w:val="00D9644E"/>
    <w:rsid w:val="00DA1685"/>
    <w:rsid w:val="00DA605D"/>
    <w:rsid w:val="00DA7AFC"/>
    <w:rsid w:val="00DA7C73"/>
    <w:rsid w:val="00DC742A"/>
    <w:rsid w:val="00DC7E1D"/>
    <w:rsid w:val="00DE07AD"/>
    <w:rsid w:val="00DF043D"/>
    <w:rsid w:val="00DF217D"/>
    <w:rsid w:val="00DF4876"/>
    <w:rsid w:val="00DF61C0"/>
    <w:rsid w:val="00DF6764"/>
    <w:rsid w:val="00E004ED"/>
    <w:rsid w:val="00E00F8C"/>
    <w:rsid w:val="00E016E5"/>
    <w:rsid w:val="00E06E27"/>
    <w:rsid w:val="00E102D1"/>
    <w:rsid w:val="00E10558"/>
    <w:rsid w:val="00E12A2B"/>
    <w:rsid w:val="00E21532"/>
    <w:rsid w:val="00E2177C"/>
    <w:rsid w:val="00E2248C"/>
    <w:rsid w:val="00E23F76"/>
    <w:rsid w:val="00E26856"/>
    <w:rsid w:val="00E31072"/>
    <w:rsid w:val="00E32DAB"/>
    <w:rsid w:val="00E339CA"/>
    <w:rsid w:val="00E342DA"/>
    <w:rsid w:val="00E343FA"/>
    <w:rsid w:val="00E40276"/>
    <w:rsid w:val="00E40498"/>
    <w:rsid w:val="00E42997"/>
    <w:rsid w:val="00E44790"/>
    <w:rsid w:val="00E44D03"/>
    <w:rsid w:val="00E47CFC"/>
    <w:rsid w:val="00E5280B"/>
    <w:rsid w:val="00E56FE8"/>
    <w:rsid w:val="00E612E5"/>
    <w:rsid w:val="00E61992"/>
    <w:rsid w:val="00E621F5"/>
    <w:rsid w:val="00E63249"/>
    <w:rsid w:val="00E6328F"/>
    <w:rsid w:val="00E63C8A"/>
    <w:rsid w:val="00E655C9"/>
    <w:rsid w:val="00E67A9E"/>
    <w:rsid w:val="00E70E19"/>
    <w:rsid w:val="00E7416C"/>
    <w:rsid w:val="00E815F6"/>
    <w:rsid w:val="00E83D04"/>
    <w:rsid w:val="00E86F3C"/>
    <w:rsid w:val="00E8769F"/>
    <w:rsid w:val="00E92424"/>
    <w:rsid w:val="00E94283"/>
    <w:rsid w:val="00E9637C"/>
    <w:rsid w:val="00EA022F"/>
    <w:rsid w:val="00EA08DA"/>
    <w:rsid w:val="00EA6302"/>
    <w:rsid w:val="00EB0CA7"/>
    <w:rsid w:val="00EB0EBD"/>
    <w:rsid w:val="00EC3CA4"/>
    <w:rsid w:val="00ED0A88"/>
    <w:rsid w:val="00ED296A"/>
    <w:rsid w:val="00ED31FA"/>
    <w:rsid w:val="00ED3894"/>
    <w:rsid w:val="00ED7FC9"/>
    <w:rsid w:val="00EE1F15"/>
    <w:rsid w:val="00EE4ED6"/>
    <w:rsid w:val="00EE5CA8"/>
    <w:rsid w:val="00EF57A1"/>
    <w:rsid w:val="00EF6EAA"/>
    <w:rsid w:val="00F011D7"/>
    <w:rsid w:val="00F043B6"/>
    <w:rsid w:val="00F0525C"/>
    <w:rsid w:val="00F10A7C"/>
    <w:rsid w:val="00F12207"/>
    <w:rsid w:val="00F12517"/>
    <w:rsid w:val="00F173AE"/>
    <w:rsid w:val="00F2118D"/>
    <w:rsid w:val="00F218F7"/>
    <w:rsid w:val="00F2231F"/>
    <w:rsid w:val="00F25786"/>
    <w:rsid w:val="00F27847"/>
    <w:rsid w:val="00F27E50"/>
    <w:rsid w:val="00F3125A"/>
    <w:rsid w:val="00F3244F"/>
    <w:rsid w:val="00F33240"/>
    <w:rsid w:val="00F3580F"/>
    <w:rsid w:val="00F36DE6"/>
    <w:rsid w:val="00F41258"/>
    <w:rsid w:val="00F441DE"/>
    <w:rsid w:val="00F479B0"/>
    <w:rsid w:val="00F51A83"/>
    <w:rsid w:val="00F536A0"/>
    <w:rsid w:val="00F543ED"/>
    <w:rsid w:val="00F54BC5"/>
    <w:rsid w:val="00F56FC4"/>
    <w:rsid w:val="00F57200"/>
    <w:rsid w:val="00F61E0E"/>
    <w:rsid w:val="00F63675"/>
    <w:rsid w:val="00F6472D"/>
    <w:rsid w:val="00F67A5B"/>
    <w:rsid w:val="00F80364"/>
    <w:rsid w:val="00F83D81"/>
    <w:rsid w:val="00F84371"/>
    <w:rsid w:val="00F859AC"/>
    <w:rsid w:val="00F85BE0"/>
    <w:rsid w:val="00F861D2"/>
    <w:rsid w:val="00F9145C"/>
    <w:rsid w:val="00F91674"/>
    <w:rsid w:val="00F94B2C"/>
    <w:rsid w:val="00FA138E"/>
    <w:rsid w:val="00FA2B44"/>
    <w:rsid w:val="00FB3519"/>
    <w:rsid w:val="00FB619D"/>
    <w:rsid w:val="00FC3E05"/>
    <w:rsid w:val="00FC6C6D"/>
    <w:rsid w:val="00FC6C8B"/>
    <w:rsid w:val="00FD0399"/>
    <w:rsid w:val="00FD5791"/>
    <w:rsid w:val="00FD6BAC"/>
    <w:rsid w:val="00FD75FB"/>
    <w:rsid w:val="00FE005F"/>
    <w:rsid w:val="00FE00BA"/>
    <w:rsid w:val="00FE0161"/>
    <w:rsid w:val="00FE5C32"/>
    <w:rsid w:val="00FE6613"/>
    <w:rsid w:val="00FF0C7C"/>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0950C1"/>
  <w15:docId w15:val="{03826BE0-53AA-4081-9CDE-85DD564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E5"/>
    <w:rPr>
      <w:rFonts w:ascii="Times New Roman" w:eastAsia="Times New Roman" w:hAnsi="Times New Roman"/>
      <w:sz w:val="24"/>
      <w:szCs w:val="24"/>
    </w:rPr>
  </w:style>
  <w:style w:type="paragraph" w:styleId="Heading1">
    <w:name w:val="heading 1"/>
    <w:basedOn w:val="Normal"/>
    <w:next w:val="Normal"/>
    <w:link w:val="Heading1Char"/>
    <w:qFormat/>
    <w:rsid w:val="001356E5"/>
    <w:pPr>
      <w:tabs>
        <w:tab w:val="left" w:pos="360"/>
      </w:tabs>
      <w:jc w:val="center"/>
      <w:outlineLvl w:val="0"/>
    </w:pPr>
    <w:rPr>
      <w:b/>
    </w:rPr>
  </w:style>
  <w:style w:type="paragraph" w:styleId="Heading2">
    <w:name w:val="heading 2"/>
    <w:basedOn w:val="Normal"/>
    <w:next w:val="Normal"/>
    <w:link w:val="Heading2Char"/>
    <w:uiPriority w:val="9"/>
    <w:semiHidden/>
    <w:unhideWhenUsed/>
    <w:qFormat/>
    <w:rsid w:val="009605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356E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E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1356E5"/>
    <w:rPr>
      <w:rFonts w:ascii="Cambria" w:eastAsia="Times New Roman" w:hAnsi="Cambria" w:cs="Times New Roman"/>
      <w:b/>
      <w:bCs/>
      <w:sz w:val="26"/>
      <w:szCs w:val="26"/>
    </w:rPr>
  </w:style>
  <w:style w:type="character" w:styleId="Hyperlink">
    <w:name w:val="Hyperlink"/>
    <w:basedOn w:val="DefaultParagraphFont"/>
    <w:uiPriority w:val="99"/>
    <w:rsid w:val="001356E5"/>
    <w:rPr>
      <w:color w:val="0000FF"/>
      <w:u w:val="single"/>
    </w:rPr>
  </w:style>
  <w:style w:type="paragraph" w:styleId="ListParagraph">
    <w:name w:val="List Paragraph"/>
    <w:basedOn w:val="Normal"/>
    <w:uiPriority w:val="34"/>
    <w:qFormat/>
    <w:rsid w:val="001356E5"/>
    <w:pPr>
      <w:ind w:left="720"/>
    </w:pPr>
  </w:style>
  <w:style w:type="paragraph" w:styleId="Title">
    <w:name w:val="Title"/>
    <w:basedOn w:val="Normal"/>
    <w:next w:val="Normal"/>
    <w:link w:val="TitleChar"/>
    <w:autoRedefine/>
    <w:qFormat/>
    <w:rsid w:val="00257EEE"/>
    <w:pPr>
      <w:contextualSpacing/>
      <w:jc w:val="center"/>
    </w:pPr>
    <w:rPr>
      <w:rFonts w:ascii="Segoe UI" w:hAnsi="Segoe UI"/>
      <w:color w:val="17365D"/>
      <w:spacing w:val="5"/>
      <w:kern w:val="28"/>
      <w:sz w:val="40"/>
      <w:szCs w:val="40"/>
      <w:lang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257EEE"/>
    <w:rPr>
      <w:rFonts w:ascii="Segoe UI" w:eastAsia="Times New Roman" w:hAnsi="Segoe UI"/>
      <w:color w:val="17365D"/>
      <w:spacing w:val="5"/>
      <w:kern w:val="28"/>
      <w:sz w:val="40"/>
      <w:szCs w:val="40"/>
      <w:lang w:bidi="en-US"/>
      <w14:shadow w14:blurRad="50800" w14:dist="38100" w14:dir="2700000" w14:sx="100000" w14:sy="100000" w14:kx="0" w14:ky="0" w14:algn="tl">
        <w14:srgbClr w14:val="000000">
          <w14:alpha w14:val="60000"/>
        </w14:srgbClr>
      </w14:shadow>
    </w:rPr>
  </w:style>
  <w:style w:type="paragraph" w:customStyle="1" w:styleId="ObjectivesTitle">
    <w:name w:val="Objectives Title"/>
    <w:basedOn w:val="Normal"/>
    <w:link w:val="ObjectivesTitleChar"/>
    <w:qFormat/>
    <w:rsid w:val="001356E5"/>
    <w:pPr>
      <w:pBdr>
        <w:top w:val="single" w:sz="12" w:space="1" w:color="B90000"/>
      </w:pBdr>
      <w:spacing w:before="360"/>
    </w:pPr>
    <w:rPr>
      <w:rFonts w:ascii="Segoe UI" w:hAnsi="Segoe UI" w:cs="Segoe UI"/>
      <w:b/>
      <w:color w:val="B90000"/>
      <w:sz w:val="22"/>
      <w:szCs w:val="22"/>
      <w:lang w:bidi="en-US"/>
    </w:rPr>
  </w:style>
  <w:style w:type="character" w:customStyle="1" w:styleId="ObjectivesTitleChar">
    <w:name w:val="Objectives Title Char"/>
    <w:basedOn w:val="DefaultParagraphFont"/>
    <w:link w:val="ObjectivesTitle"/>
    <w:rsid w:val="001356E5"/>
    <w:rPr>
      <w:rFonts w:ascii="Segoe UI" w:eastAsia="Times New Roman" w:hAnsi="Segoe UI" w:cs="Segoe UI"/>
      <w:b/>
      <w:color w:val="B90000"/>
      <w:lang w:bidi="en-US"/>
    </w:rPr>
  </w:style>
  <w:style w:type="paragraph" w:customStyle="1" w:styleId="para">
    <w:name w:val="para"/>
    <w:basedOn w:val="Normal"/>
    <w:rsid w:val="001356E5"/>
    <w:pPr>
      <w:tabs>
        <w:tab w:val="left" w:pos="360"/>
      </w:tabs>
      <w:suppressAutoHyphens/>
      <w:spacing w:after="160"/>
      <w:jc w:val="both"/>
    </w:pPr>
    <w:rPr>
      <w:spacing w:val="-2"/>
      <w:sz w:val="20"/>
      <w:szCs w:val="20"/>
    </w:rPr>
  </w:style>
  <w:style w:type="paragraph" w:styleId="BalloonText">
    <w:name w:val="Balloon Text"/>
    <w:basedOn w:val="Normal"/>
    <w:link w:val="BalloonTextChar"/>
    <w:uiPriority w:val="99"/>
    <w:semiHidden/>
    <w:unhideWhenUsed/>
    <w:rsid w:val="00192A45"/>
    <w:rPr>
      <w:rFonts w:ascii="Tahoma" w:hAnsi="Tahoma" w:cs="Tahoma"/>
      <w:sz w:val="16"/>
      <w:szCs w:val="16"/>
    </w:rPr>
  </w:style>
  <w:style w:type="character" w:customStyle="1" w:styleId="BalloonTextChar">
    <w:name w:val="Balloon Text Char"/>
    <w:basedOn w:val="DefaultParagraphFont"/>
    <w:link w:val="BalloonText"/>
    <w:uiPriority w:val="99"/>
    <w:semiHidden/>
    <w:rsid w:val="00192A4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6462C"/>
    <w:rPr>
      <w:color w:val="800080"/>
      <w:u w:val="single"/>
    </w:rPr>
  </w:style>
  <w:style w:type="character" w:styleId="LineNumber">
    <w:name w:val="line number"/>
    <w:basedOn w:val="DefaultParagraphFont"/>
    <w:uiPriority w:val="99"/>
    <w:semiHidden/>
    <w:unhideWhenUsed/>
    <w:rsid w:val="0015321A"/>
  </w:style>
  <w:style w:type="paragraph" w:styleId="Header">
    <w:name w:val="header"/>
    <w:basedOn w:val="Normal"/>
    <w:link w:val="HeaderChar"/>
    <w:uiPriority w:val="99"/>
    <w:unhideWhenUsed/>
    <w:rsid w:val="0015321A"/>
    <w:pPr>
      <w:tabs>
        <w:tab w:val="center" w:pos="4680"/>
        <w:tab w:val="right" w:pos="9360"/>
      </w:tabs>
    </w:pPr>
  </w:style>
  <w:style w:type="character" w:customStyle="1" w:styleId="HeaderChar">
    <w:name w:val="Header Char"/>
    <w:basedOn w:val="DefaultParagraphFont"/>
    <w:link w:val="Header"/>
    <w:uiPriority w:val="99"/>
    <w:rsid w:val="0015321A"/>
    <w:rPr>
      <w:rFonts w:ascii="Times New Roman" w:eastAsia="Times New Roman" w:hAnsi="Times New Roman"/>
      <w:sz w:val="24"/>
      <w:szCs w:val="24"/>
    </w:rPr>
  </w:style>
  <w:style w:type="paragraph" w:styleId="Footer">
    <w:name w:val="footer"/>
    <w:basedOn w:val="Normal"/>
    <w:link w:val="FooterChar"/>
    <w:uiPriority w:val="99"/>
    <w:unhideWhenUsed/>
    <w:rsid w:val="0015321A"/>
    <w:pPr>
      <w:tabs>
        <w:tab w:val="center" w:pos="4680"/>
        <w:tab w:val="right" w:pos="9360"/>
      </w:tabs>
    </w:pPr>
  </w:style>
  <w:style w:type="character" w:customStyle="1" w:styleId="FooterChar">
    <w:name w:val="Footer Char"/>
    <w:basedOn w:val="DefaultParagraphFont"/>
    <w:link w:val="Footer"/>
    <w:uiPriority w:val="99"/>
    <w:rsid w:val="0015321A"/>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960506"/>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4D7CE6"/>
    <w:rPr>
      <w:sz w:val="16"/>
      <w:szCs w:val="16"/>
    </w:rPr>
  </w:style>
  <w:style w:type="paragraph" w:styleId="CommentText">
    <w:name w:val="annotation text"/>
    <w:basedOn w:val="Normal"/>
    <w:link w:val="CommentTextChar"/>
    <w:uiPriority w:val="99"/>
    <w:semiHidden/>
    <w:unhideWhenUsed/>
    <w:rsid w:val="004D7CE6"/>
    <w:rPr>
      <w:sz w:val="20"/>
      <w:szCs w:val="20"/>
    </w:rPr>
  </w:style>
  <w:style w:type="character" w:customStyle="1" w:styleId="CommentTextChar">
    <w:name w:val="Comment Text Char"/>
    <w:basedOn w:val="DefaultParagraphFont"/>
    <w:link w:val="CommentText"/>
    <w:uiPriority w:val="99"/>
    <w:semiHidden/>
    <w:rsid w:val="004D7CE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D7CE6"/>
    <w:rPr>
      <w:b/>
      <w:bCs/>
    </w:rPr>
  </w:style>
  <w:style w:type="character" w:customStyle="1" w:styleId="CommentSubjectChar">
    <w:name w:val="Comment Subject Char"/>
    <w:basedOn w:val="CommentTextChar"/>
    <w:link w:val="CommentSubject"/>
    <w:uiPriority w:val="99"/>
    <w:semiHidden/>
    <w:rsid w:val="004D7CE6"/>
    <w:rPr>
      <w:rFonts w:ascii="Times New Roman" w:eastAsia="Times New Roman" w:hAnsi="Times New Roman"/>
      <w:b/>
      <w:bCs/>
    </w:rPr>
  </w:style>
  <w:style w:type="paragraph" w:styleId="Revision">
    <w:name w:val="Revision"/>
    <w:hidden/>
    <w:uiPriority w:val="99"/>
    <w:semiHidden/>
    <w:rsid w:val="004D7CE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3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hca.texas.gov/competitive-9-housing-tax-credits" TargetMode="External"/><Relationship Id="rId13" Type="http://schemas.openxmlformats.org/officeDocument/2006/relationships/hyperlink" Target="https://www.tdhca.texas.gov/post-award-activities-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dhca.texas.gov/post-award-activities-manu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hca.texas.gov/post-award-activities-manu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sheppar@tdhca.texas.gov" TargetMode="External"/><Relationship Id="rId4" Type="http://schemas.openxmlformats.org/officeDocument/2006/relationships/settings" Target="settings.xml"/><Relationship Id="rId9" Type="http://schemas.openxmlformats.org/officeDocument/2006/relationships/hyperlink" Target="https://www.tdhca.texas.gov/sites/default/files/multifamily/docs/25-MFProceduresManual_0.pdf" TargetMode="External"/><Relationship Id="rId14" Type="http://schemas.openxmlformats.org/officeDocument/2006/relationships/hyperlink" Target="https://www.tdhca.texas.gov/post-award-activitie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A693-0FF1-46C9-AF18-2B998742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9</Pages>
  <Words>3802</Words>
  <Characters>21674</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2014 Carryover Manual</vt:lpstr>
    </vt:vector>
  </TitlesOfParts>
  <Company>TDHCA</Company>
  <LinksUpToDate>false</LinksUpToDate>
  <CharactersWithSpaces>25426</CharactersWithSpaces>
  <SharedDoc>false</SharedDoc>
  <HLinks>
    <vt:vector size="48" baseType="variant">
      <vt:variant>
        <vt:i4>1376275</vt:i4>
      </vt:variant>
      <vt:variant>
        <vt:i4>21</vt:i4>
      </vt:variant>
      <vt:variant>
        <vt:i4>0</vt:i4>
      </vt:variant>
      <vt:variant>
        <vt:i4>5</vt:i4>
      </vt:variant>
      <vt:variant>
        <vt:lpwstr>http://www.tdhca.state.tx.us/asset-management/pca-manual.htm</vt:lpwstr>
      </vt:variant>
      <vt:variant>
        <vt:lpwstr/>
      </vt:variant>
      <vt:variant>
        <vt:i4>5505033</vt:i4>
      </vt:variant>
      <vt:variant>
        <vt:i4>18</vt:i4>
      </vt:variant>
      <vt:variant>
        <vt:i4>0</vt:i4>
      </vt:variant>
      <vt:variant>
        <vt:i4>5</vt:i4>
      </vt:variant>
      <vt:variant>
        <vt:lpwstr>file://C:\Users\bsheppar\AppData\Local\Microsoft\Windows\Temporary Internet Files\Content.Outlook\AppData\Local\Microsoft\Windows\Temporary Internet Files\Content.Outlook\JPXE0BCK\the Post Award Activities Manual at http:\www.tdhca.state.tx.us\asset-management\pca-manual.htm</vt:lpwstr>
      </vt:variant>
      <vt:variant>
        <vt:lpwstr/>
      </vt:variant>
      <vt:variant>
        <vt:i4>1376275</vt:i4>
      </vt:variant>
      <vt:variant>
        <vt:i4>15</vt:i4>
      </vt:variant>
      <vt:variant>
        <vt:i4>0</vt:i4>
      </vt:variant>
      <vt:variant>
        <vt:i4>5</vt:i4>
      </vt:variant>
      <vt:variant>
        <vt:lpwstr>http://www.tdhca.state.tx.us/asset-management/pca-manual.htm</vt:lpwstr>
      </vt:variant>
      <vt:variant>
        <vt:lpwstr/>
      </vt:variant>
      <vt:variant>
        <vt:i4>720915</vt:i4>
      </vt:variant>
      <vt:variant>
        <vt:i4>12</vt:i4>
      </vt:variant>
      <vt:variant>
        <vt:i4>0</vt:i4>
      </vt:variant>
      <vt:variant>
        <vt:i4>5</vt:i4>
      </vt:variant>
      <vt:variant>
        <vt:lpwstr>https://www.tdhca.state.tx.us/asset-management/pca-manual.htm</vt:lpwstr>
      </vt:variant>
      <vt:variant>
        <vt:lpwstr/>
      </vt:variant>
      <vt:variant>
        <vt:i4>3145804</vt:i4>
      </vt:variant>
      <vt:variant>
        <vt:i4>9</vt:i4>
      </vt:variant>
      <vt:variant>
        <vt:i4>0</vt:i4>
      </vt:variant>
      <vt:variant>
        <vt:i4>5</vt:i4>
      </vt:variant>
      <vt:variant>
        <vt:lpwstr>mailto:ben.sheppard@tdhca.state.tx.us</vt:lpwstr>
      </vt:variant>
      <vt:variant>
        <vt:lpwstr/>
      </vt:variant>
      <vt:variant>
        <vt:i4>5177405</vt:i4>
      </vt:variant>
      <vt:variant>
        <vt:i4>6</vt:i4>
      </vt:variant>
      <vt:variant>
        <vt:i4>0</vt:i4>
      </vt:variant>
      <vt:variant>
        <vt:i4>5</vt:i4>
      </vt:variant>
      <vt:variant>
        <vt:lpwstr>mailto:jason.burr@tdhca.state.tx.us</vt:lpwstr>
      </vt:variant>
      <vt:variant>
        <vt:lpwstr/>
      </vt:variant>
      <vt:variant>
        <vt:i4>3145804</vt:i4>
      </vt:variant>
      <vt:variant>
        <vt:i4>3</vt:i4>
      </vt:variant>
      <vt:variant>
        <vt:i4>0</vt:i4>
      </vt:variant>
      <vt:variant>
        <vt:i4>5</vt:i4>
      </vt:variant>
      <vt:variant>
        <vt:lpwstr>mailto:ben.sheppard@tdhca.state.tx.us</vt:lpwstr>
      </vt:variant>
      <vt:variant>
        <vt:lpwstr/>
      </vt:variant>
      <vt:variant>
        <vt:i4>3539065</vt:i4>
      </vt:variant>
      <vt:variant>
        <vt:i4>0</vt:i4>
      </vt:variant>
      <vt:variant>
        <vt:i4>0</vt:i4>
      </vt:variant>
      <vt:variant>
        <vt:i4>5</vt:i4>
      </vt:variant>
      <vt:variant>
        <vt:lpwstr>http://www.tdhca.state.tx.us/multifamily/housing-tax-credits-9pct/index.htm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Carryover Manual</dc:title>
  <dc:subject>2014 Carryover</dc:subject>
  <dc:creator>TDHCA</dc:creator>
  <cp:keywords>2014 Carryover Manual, TDHCA, multifamily, LIHTC</cp:keywords>
  <dc:description/>
  <cp:lastModifiedBy>Ben Sheppard</cp:lastModifiedBy>
  <cp:revision>5</cp:revision>
  <cp:lastPrinted>2017-08-15T16:18:00Z</cp:lastPrinted>
  <dcterms:created xsi:type="dcterms:W3CDTF">2025-07-28T17:46:00Z</dcterms:created>
  <dcterms:modified xsi:type="dcterms:W3CDTF">2025-07-29T14:56:00Z</dcterms:modified>
</cp:coreProperties>
</file>