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8F1" w:rsidRDefault="000D5210" w:rsidP="000D5210">
      <w:pPr>
        <w:jc w:val="center"/>
        <w:rPr>
          <w:sz w:val="24"/>
          <w:szCs w:val="24"/>
        </w:rPr>
      </w:pPr>
      <w:r w:rsidRPr="000D5210">
        <w:rPr>
          <w:sz w:val="40"/>
          <w:szCs w:val="40"/>
        </w:rPr>
        <w:t>Market Analysis FAQ</w:t>
      </w:r>
      <w:r>
        <w:rPr>
          <w:sz w:val="40"/>
          <w:szCs w:val="40"/>
        </w:rPr>
        <w:t xml:space="preserve"> </w:t>
      </w:r>
      <w:r w:rsidR="005434D1">
        <w:rPr>
          <w:sz w:val="24"/>
          <w:szCs w:val="24"/>
        </w:rPr>
        <w:t>(4</w:t>
      </w:r>
      <w:r w:rsidRPr="000D5210">
        <w:rPr>
          <w:sz w:val="24"/>
          <w:szCs w:val="24"/>
        </w:rPr>
        <w:t>/2021)</w:t>
      </w:r>
    </w:p>
    <w:p w:rsidR="00D90DA3" w:rsidRPr="00F32A78" w:rsidRDefault="00E87D9B" w:rsidP="00D90DA3">
      <w:pPr>
        <w:rPr>
          <w:b/>
          <w:sz w:val="24"/>
          <w:szCs w:val="24"/>
        </w:rPr>
      </w:pPr>
      <w:r>
        <w:rPr>
          <w:b/>
          <w:sz w:val="24"/>
          <w:szCs w:val="24"/>
        </w:rPr>
        <w:t xml:space="preserve">1) </w:t>
      </w:r>
      <w:r w:rsidR="00D90DA3" w:rsidRPr="00F32A78">
        <w:rPr>
          <w:b/>
          <w:sz w:val="24"/>
          <w:szCs w:val="24"/>
        </w:rPr>
        <w:t>What rules govern the market analysis?</w:t>
      </w:r>
      <w:r w:rsidR="00F32A78" w:rsidRPr="00F32A78">
        <w:rPr>
          <w:b/>
          <w:sz w:val="24"/>
          <w:szCs w:val="24"/>
        </w:rPr>
        <w:t xml:space="preserve">  </w:t>
      </w:r>
    </w:p>
    <w:p w:rsidR="00F32A78" w:rsidRDefault="00F32A78" w:rsidP="00D90DA3">
      <w:pPr>
        <w:rPr>
          <w:sz w:val="24"/>
          <w:szCs w:val="24"/>
        </w:rPr>
      </w:pPr>
      <w:r>
        <w:rPr>
          <w:sz w:val="24"/>
          <w:szCs w:val="24"/>
        </w:rPr>
        <w:t xml:space="preserve">Most of the rules that apply to market studies are located in the Market Analysis Rules and </w:t>
      </w:r>
      <w:bookmarkStart w:id="0" w:name="_GoBack"/>
      <w:bookmarkEnd w:id="0"/>
      <w:r>
        <w:rPr>
          <w:sz w:val="24"/>
          <w:szCs w:val="24"/>
        </w:rPr>
        <w:t xml:space="preserve">Guidelines in </w:t>
      </w:r>
      <w:r w:rsidRPr="00F32A78">
        <w:rPr>
          <w:sz w:val="24"/>
          <w:szCs w:val="24"/>
        </w:rPr>
        <w:t>§11.303</w:t>
      </w:r>
      <w:r>
        <w:rPr>
          <w:sz w:val="24"/>
          <w:szCs w:val="24"/>
        </w:rPr>
        <w:t>.</w:t>
      </w:r>
    </w:p>
    <w:p w:rsidR="00D90DA3" w:rsidRDefault="00D90DA3" w:rsidP="00D90DA3">
      <w:pPr>
        <w:rPr>
          <w:b/>
          <w:bCs/>
          <w:sz w:val="23"/>
          <w:szCs w:val="23"/>
        </w:rPr>
      </w:pPr>
      <w:r>
        <w:rPr>
          <w:sz w:val="24"/>
          <w:szCs w:val="24"/>
        </w:rPr>
        <w:t>Application prioritization for capture rate calculations is outlined in the QAP</w:t>
      </w:r>
      <w:r w:rsidR="00F32A78">
        <w:rPr>
          <w:sz w:val="24"/>
          <w:szCs w:val="24"/>
        </w:rPr>
        <w:t xml:space="preserve"> </w:t>
      </w:r>
      <w:r w:rsidR="00F32A78" w:rsidRPr="00F32A78">
        <w:rPr>
          <w:bCs/>
          <w:sz w:val="23"/>
          <w:szCs w:val="23"/>
        </w:rPr>
        <w:t>11.201(6)(A)</w:t>
      </w:r>
      <w:r w:rsidR="00F32A78">
        <w:rPr>
          <w:b/>
          <w:bCs/>
          <w:sz w:val="23"/>
          <w:szCs w:val="23"/>
        </w:rPr>
        <w:t xml:space="preserve">.  </w:t>
      </w:r>
    </w:p>
    <w:p w:rsidR="00F32A78" w:rsidRDefault="00635C87" w:rsidP="00F32A78">
      <w:pPr>
        <w:pStyle w:val="Default"/>
        <w:rPr>
          <w:bCs/>
          <w:sz w:val="23"/>
          <w:szCs w:val="23"/>
        </w:rPr>
      </w:pPr>
      <w:r>
        <w:rPr>
          <w:bCs/>
          <w:sz w:val="23"/>
          <w:szCs w:val="23"/>
        </w:rPr>
        <w:t>Capture rate limits and feasibility are</w:t>
      </w:r>
      <w:r w:rsidR="00F32A78" w:rsidRPr="00F32A78">
        <w:rPr>
          <w:bCs/>
          <w:sz w:val="23"/>
          <w:szCs w:val="23"/>
        </w:rPr>
        <w:t xml:space="preserve"> discussed in the Underwriting Rule </w:t>
      </w:r>
      <w:r w:rsidR="00F32A78" w:rsidRPr="00F32A78">
        <w:t>§</w:t>
      </w:r>
      <w:r w:rsidR="00F32A78" w:rsidRPr="00F32A78">
        <w:rPr>
          <w:bCs/>
          <w:sz w:val="23"/>
          <w:szCs w:val="23"/>
        </w:rPr>
        <w:t>11.302 (i)(1) Gross Capture Rate, AMGI Band Capture Rates, and Individual Unit Capture Rate.</w:t>
      </w:r>
    </w:p>
    <w:p w:rsidR="007B4343" w:rsidRDefault="007B4343" w:rsidP="00F32A78">
      <w:pPr>
        <w:pStyle w:val="Default"/>
        <w:rPr>
          <w:bCs/>
          <w:sz w:val="23"/>
          <w:szCs w:val="23"/>
        </w:rPr>
      </w:pPr>
    </w:p>
    <w:p w:rsidR="007B4343" w:rsidRPr="004E66F1" w:rsidRDefault="00E87D9B" w:rsidP="00F32A78">
      <w:pPr>
        <w:pStyle w:val="Default"/>
        <w:rPr>
          <w:b/>
          <w:bCs/>
        </w:rPr>
      </w:pPr>
      <w:r>
        <w:rPr>
          <w:b/>
          <w:bCs/>
        </w:rPr>
        <w:t xml:space="preserve">2) </w:t>
      </w:r>
      <w:r w:rsidR="007B4343" w:rsidRPr="004E66F1">
        <w:rPr>
          <w:b/>
          <w:bCs/>
        </w:rPr>
        <w:t>What’s the difference in gross demand, AMGI band demand, and unit demand?</w:t>
      </w:r>
    </w:p>
    <w:p w:rsidR="007B4343" w:rsidRDefault="007B4343" w:rsidP="00F32A78">
      <w:pPr>
        <w:pStyle w:val="Default"/>
        <w:rPr>
          <w:b/>
          <w:bCs/>
          <w:sz w:val="23"/>
          <w:szCs w:val="23"/>
        </w:rPr>
      </w:pPr>
    </w:p>
    <w:p w:rsidR="007B4343" w:rsidRDefault="007B4343" w:rsidP="00F32A78">
      <w:pPr>
        <w:pStyle w:val="Default"/>
        <w:rPr>
          <w:bCs/>
          <w:sz w:val="23"/>
          <w:szCs w:val="23"/>
        </w:rPr>
      </w:pPr>
      <w:r>
        <w:rPr>
          <w:bCs/>
          <w:sz w:val="23"/>
          <w:szCs w:val="23"/>
        </w:rPr>
        <w:t xml:space="preserve">Gross demand includes all income and size qualified households from smallest and lowest income household up to the largest and highest </w:t>
      </w:r>
      <w:r w:rsidR="000A536F">
        <w:rPr>
          <w:bCs/>
          <w:sz w:val="23"/>
          <w:szCs w:val="23"/>
        </w:rPr>
        <w:t>income</w:t>
      </w:r>
      <w:r>
        <w:rPr>
          <w:bCs/>
          <w:sz w:val="23"/>
          <w:szCs w:val="23"/>
        </w:rPr>
        <w:t xml:space="preserve"> household.</w:t>
      </w:r>
    </w:p>
    <w:p w:rsidR="007B4343" w:rsidRDefault="007B4343" w:rsidP="00F32A78">
      <w:pPr>
        <w:pStyle w:val="Default"/>
        <w:rPr>
          <w:bCs/>
          <w:sz w:val="23"/>
          <w:szCs w:val="23"/>
        </w:rPr>
      </w:pPr>
    </w:p>
    <w:p w:rsidR="007B4343" w:rsidRPr="000E342C" w:rsidRDefault="007B4343" w:rsidP="00F32A78">
      <w:pPr>
        <w:pStyle w:val="Default"/>
        <w:rPr>
          <w:bCs/>
          <w:i/>
          <w:sz w:val="23"/>
          <w:szCs w:val="23"/>
        </w:rPr>
      </w:pPr>
      <w:r>
        <w:rPr>
          <w:bCs/>
          <w:sz w:val="23"/>
          <w:szCs w:val="23"/>
        </w:rPr>
        <w:t>AMGI band demand takes the gross demand and</w:t>
      </w:r>
      <w:r w:rsidR="00635C87">
        <w:rPr>
          <w:bCs/>
          <w:sz w:val="23"/>
          <w:szCs w:val="23"/>
        </w:rPr>
        <w:t xml:space="preserve"> the</w:t>
      </w:r>
      <w:r>
        <w:rPr>
          <w:bCs/>
          <w:sz w:val="23"/>
          <w:szCs w:val="23"/>
        </w:rPr>
        <w:t xml:space="preserve"> </w:t>
      </w:r>
      <w:r w:rsidR="00D04C2B">
        <w:rPr>
          <w:bCs/>
          <w:sz w:val="23"/>
          <w:szCs w:val="23"/>
        </w:rPr>
        <w:t>market analyst</w:t>
      </w:r>
      <w:r>
        <w:rPr>
          <w:bCs/>
          <w:sz w:val="23"/>
          <w:szCs w:val="23"/>
        </w:rPr>
        <w:t xml:space="preserve"> </w:t>
      </w:r>
      <w:r w:rsidR="00D04C2B">
        <w:rPr>
          <w:bCs/>
          <w:sz w:val="23"/>
          <w:szCs w:val="23"/>
        </w:rPr>
        <w:t xml:space="preserve">eliminates the overlaps between the AMGI bands by deciding where to </w:t>
      </w:r>
      <w:r w:rsidR="00635C87">
        <w:rPr>
          <w:bCs/>
          <w:sz w:val="23"/>
          <w:szCs w:val="23"/>
        </w:rPr>
        <w:t>“</w:t>
      </w:r>
      <w:r w:rsidR="00D04C2B">
        <w:rPr>
          <w:bCs/>
          <w:sz w:val="23"/>
          <w:szCs w:val="23"/>
        </w:rPr>
        <w:t>draw</w:t>
      </w:r>
      <w:r w:rsidR="00635C87">
        <w:rPr>
          <w:bCs/>
          <w:sz w:val="23"/>
          <w:szCs w:val="23"/>
        </w:rPr>
        <w:t xml:space="preserve"> the line” and divide </w:t>
      </w:r>
      <w:r w:rsidR="00D04C2B">
        <w:rPr>
          <w:bCs/>
          <w:sz w:val="23"/>
          <w:szCs w:val="23"/>
        </w:rPr>
        <w:t>the overlapping income bands</w:t>
      </w:r>
      <w:r>
        <w:rPr>
          <w:bCs/>
          <w:sz w:val="23"/>
          <w:szCs w:val="23"/>
        </w:rPr>
        <w:t>.</w:t>
      </w:r>
      <w:r w:rsidR="00D04C2B">
        <w:rPr>
          <w:bCs/>
          <w:sz w:val="23"/>
          <w:szCs w:val="23"/>
        </w:rPr>
        <w:t xml:space="preserve"> </w:t>
      </w:r>
      <w:r>
        <w:rPr>
          <w:bCs/>
          <w:sz w:val="23"/>
          <w:szCs w:val="23"/>
        </w:rPr>
        <w:t xml:space="preserve"> </w:t>
      </w:r>
      <w:r w:rsidR="00C16F19" w:rsidRPr="00C16F19">
        <w:rPr>
          <w:bCs/>
          <w:sz w:val="23"/>
          <w:szCs w:val="23"/>
        </w:rPr>
        <w:t>E</w:t>
      </w:r>
      <w:r w:rsidR="00C16F19" w:rsidRPr="00C16F19">
        <w:rPr>
          <w:sz w:val="23"/>
          <w:szCs w:val="23"/>
        </w:rPr>
        <w:t>ach household is included in only one AMGI band</w:t>
      </w:r>
      <w:r w:rsidR="00C16F19">
        <w:rPr>
          <w:sz w:val="23"/>
          <w:szCs w:val="23"/>
        </w:rPr>
        <w:t>.</w:t>
      </w:r>
      <w:r w:rsidR="00C16F19" w:rsidRPr="000E342C">
        <w:rPr>
          <w:bCs/>
          <w:i/>
          <w:sz w:val="23"/>
          <w:szCs w:val="23"/>
        </w:rPr>
        <w:t xml:space="preserve"> </w:t>
      </w:r>
      <w:r w:rsidRPr="000E342C">
        <w:rPr>
          <w:bCs/>
          <w:i/>
          <w:sz w:val="23"/>
          <w:szCs w:val="23"/>
        </w:rPr>
        <w:t>All of the AMGI band demands should add up to the gross demand.</w:t>
      </w:r>
    </w:p>
    <w:p w:rsidR="007B4343" w:rsidRDefault="007B4343" w:rsidP="00F32A78">
      <w:pPr>
        <w:pStyle w:val="Default"/>
        <w:rPr>
          <w:bCs/>
          <w:sz w:val="23"/>
          <w:szCs w:val="23"/>
        </w:rPr>
      </w:pPr>
    </w:p>
    <w:p w:rsidR="007B4343" w:rsidRPr="000C1F17" w:rsidRDefault="007B4343" w:rsidP="00F32A78">
      <w:pPr>
        <w:pStyle w:val="Default"/>
        <w:rPr>
          <w:bCs/>
          <w:color w:val="FF0000"/>
          <w:sz w:val="23"/>
          <w:szCs w:val="23"/>
        </w:rPr>
      </w:pPr>
      <w:r>
        <w:rPr>
          <w:bCs/>
          <w:sz w:val="23"/>
          <w:szCs w:val="23"/>
        </w:rPr>
        <w:t>Unit demand requires the market analyst to apply a hous</w:t>
      </w:r>
      <w:r w:rsidR="00635C87">
        <w:rPr>
          <w:bCs/>
          <w:sz w:val="23"/>
          <w:szCs w:val="23"/>
        </w:rPr>
        <w:t>ehold distribution matrix and</w:t>
      </w:r>
      <w:r>
        <w:rPr>
          <w:bCs/>
          <w:sz w:val="23"/>
          <w:szCs w:val="23"/>
        </w:rPr>
        <w:t xml:space="preserve"> determine which households qualify to live in the specific units at the subject property; and that each ho</w:t>
      </w:r>
      <w:r w:rsidR="00635C87">
        <w:rPr>
          <w:bCs/>
          <w:sz w:val="23"/>
          <w:szCs w:val="23"/>
        </w:rPr>
        <w:t>usehold can only physically occupy</w:t>
      </w:r>
      <w:r>
        <w:rPr>
          <w:bCs/>
          <w:sz w:val="23"/>
          <w:szCs w:val="23"/>
        </w:rPr>
        <w:t xml:space="preserve"> one unit.  </w:t>
      </w:r>
      <w:r w:rsidRPr="000E342C">
        <w:rPr>
          <w:bCs/>
          <w:i/>
          <w:sz w:val="23"/>
          <w:szCs w:val="23"/>
        </w:rPr>
        <w:t xml:space="preserve">Qualified unit demands add up to less than the gross demand </w:t>
      </w:r>
      <w:r>
        <w:rPr>
          <w:bCs/>
          <w:sz w:val="23"/>
          <w:szCs w:val="23"/>
        </w:rPr>
        <w:t xml:space="preserve">because </w:t>
      </w:r>
      <w:r w:rsidR="000C1F17" w:rsidRPr="00E87D9B">
        <w:rPr>
          <w:bCs/>
          <w:color w:val="auto"/>
          <w:sz w:val="23"/>
          <w:szCs w:val="23"/>
        </w:rPr>
        <w:t>it includes only those</w:t>
      </w:r>
      <w:r w:rsidRPr="00E87D9B">
        <w:rPr>
          <w:bCs/>
          <w:color w:val="auto"/>
          <w:sz w:val="23"/>
          <w:szCs w:val="23"/>
        </w:rPr>
        <w:t xml:space="preserve"> households </w:t>
      </w:r>
      <w:r w:rsidR="000C1F17" w:rsidRPr="00E87D9B">
        <w:rPr>
          <w:bCs/>
          <w:color w:val="auto"/>
          <w:sz w:val="23"/>
          <w:szCs w:val="23"/>
        </w:rPr>
        <w:t xml:space="preserve">that are specifically qualified </w:t>
      </w:r>
      <w:r w:rsidRPr="00E87D9B">
        <w:rPr>
          <w:bCs/>
          <w:color w:val="auto"/>
          <w:sz w:val="23"/>
          <w:szCs w:val="23"/>
        </w:rPr>
        <w:t xml:space="preserve">to live in specific </w:t>
      </w:r>
      <w:r w:rsidR="000E342C" w:rsidRPr="00E87D9B">
        <w:rPr>
          <w:bCs/>
          <w:color w:val="auto"/>
          <w:sz w:val="23"/>
          <w:szCs w:val="23"/>
        </w:rPr>
        <w:t>units.</w:t>
      </w:r>
      <w:r w:rsidR="000C1F17" w:rsidRPr="00E87D9B">
        <w:rPr>
          <w:bCs/>
          <w:color w:val="auto"/>
          <w:sz w:val="23"/>
          <w:szCs w:val="23"/>
        </w:rPr>
        <w:t xml:space="preserve">  (Gross demand overstates overall demand because it includes households with size/income combinations that do not actually fit the criteria for any particular unit.)</w:t>
      </w:r>
    </w:p>
    <w:p w:rsidR="00B63B0F" w:rsidRDefault="00B63B0F" w:rsidP="00F32A78">
      <w:pPr>
        <w:pStyle w:val="Default"/>
        <w:rPr>
          <w:bCs/>
          <w:sz w:val="23"/>
          <w:szCs w:val="23"/>
        </w:rPr>
      </w:pPr>
    </w:p>
    <w:p w:rsidR="00B63B0F" w:rsidRPr="004E66F1" w:rsidRDefault="00E87D9B" w:rsidP="00F32A78">
      <w:pPr>
        <w:pStyle w:val="Default"/>
        <w:rPr>
          <w:b/>
        </w:rPr>
      </w:pPr>
      <w:r>
        <w:rPr>
          <w:b/>
          <w:bCs/>
        </w:rPr>
        <w:t xml:space="preserve">3) </w:t>
      </w:r>
      <w:r w:rsidR="00B63B0F" w:rsidRPr="004E66F1">
        <w:rPr>
          <w:b/>
          <w:bCs/>
        </w:rPr>
        <w:t>In reference to</w:t>
      </w:r>
      <w:r w:rsidR="00B63B0F">
        <w:rPr>
          <w:bCs/>
          <w:sz w:val="23"/>
          <w:szCs w:val="23"/>
        </w:rPr>
        <w:t xml:space="preserve"> </w:t>
      </w:r>
      <w:r w:rsidR="00C16F19" w:rsidRPr="00C16F19">
        <w:t xml:space="preserve">§11.303 (d)(10)(E)(iv) </w:t>
      </w:r>
      <w:r w:rsidR="00C16F19">
        <w:t>“</w:t>
      </w:r>
      <w:r w:rsidR="00C16F19">
        <w:rPr>
          <w:sz w:val="23"/>
          <w:szCs w:val="23"/>
        </w:rPr>
        <w:t xml:space="preserve">proposed and Unstabilized Comparable Units that are located in close proximity to the subject PMA if they are likely to share eligible demand or if the PMAs have overlapping census tracts. Underwriter may require Market Analyst to run a combined PMA including eligible demand and Relevant Supply from the combined census tracts; the Gross Capture Rate generated from the combined PMA must meet the feasibility criteria as defined in §11.302(i),” </w:t>
      </w:r>
      <w:r w:rsidR="00C16F19" w:rsidRPr="004E66F1">
        <w:rPr>
          <w:b/>
        </w:rPr>
        <w:t>how will staff determine if a property outside the PMA will be included in capture rates?</w:t>
      </w:r>
    </w:p>
    <w:p w:rsidR="002F781E" w:rsidRDefault="002F781E" w:rsidP="00F32A78">
      <w:pPr>
        <w:pStyle w:val="Default"/>
        <w:rPr>
          <w:b/>
          <w:sz w:val="23"/>
          <w:szCs w:val="23"/>
        </w:rPr>
      </w:pPr>
    </w:p>
    <w:p w:rsidR="002F781E" w:rsidRDefault="002F781E" w:rsidP="00F32A78">
      <w:pPr>
        <w:pStyle w:val="Default"/>
        <w:rPr>
          <w:sz w:val="23"/>
          <w:szCs w:val="23"/>
        </w:rPr>
      </w:pPr>
      <w:r>
        <w:rPr>
          <w:sz w:val="23"/>
          <w:szCs w:val="23"/>
        </w:rPr>
        <w:t>If a competitive property’s PMA overlaps with Subject’s PMA, that means they are sharing qualified demand and “fishing from the same pond” to lease their tax credit units. The competitive units of the overlapping PMA could be included in the demand calculation.</w:t>
      </w:r>
    </w:p>
    <w:p w:rsidR="002F781E" w:rsidRDefault="002F781E" w:rsidP="00F32A78">
      <w:pPr>
        <w:pStyle w:val="Default"/>
        <w:rPr>
          <w:sz w:val="23"/>
          <w:szCs w:val="23"/>
        </w:rPr>
      </w:pPr>
    </w:p>
    <w:p w:rsidR="002F781E" w:rsidRDefault="002F781E" w:rsidP="00F32A78">
      <w:pPr>
        <w:pStyle w:val="Default"/>
        <w:rPr>
          <w:sz w:val="23"/>
          <w:szCs w:val="23"/>
        </w:rPr>
      </w:pPr>
      <w:r>
        <w:rPr>
          <w:sz w:val="23"/>
          <w:szCs w:val="23"/>
        </w:rPr>
        <w:t>In cities/populous area</w:t>
      </w:r>
      <w:r w:rsidR="00675EED">
        <w:rPr>
          <w:sz w:val="23"/>
          <w:szCs w:val="23"/>
        </w:rPr>
        <w:t>s</w:t>
      </w:r>
      <w:r>
        <w:rPr>
          <w:sz w:val="23"/>
          <w:szCs w:val="23"/>
        </w:rPr>
        <w:t xml:space="preserve">, Staff will look at the surrounding </w:t>
      </w:r>
      <w:r w:rsidR="00675EED">
        <w:rPr>
          <w:sz w:val="23"/>
          <w:szCs w:val="23"/>
        </w:rPr>
        <w:t xml:space="preserve">properties with applications from the last two years </w:t>
      </w:r>
      <w:r w:rsidR="00E901F7">
        <w:rPr>
          <w:sz w:val="23"/>
          <w:szCs w:val="23"/>
        </w:rPr>
        <w:t xml:space="preserve">and see </w:t>
      </w:r>
      <w:r w:rsidR="00675EED">
        <w:rPr>
          <w:sz w:val="23"/>
          <w:szCs w:val="23"/>
        </w:rPr>
        <w:t xml:space="preserve">if their PMA’s overlap with Subject’s.  If a project is already in lease-up, </w:t>
      </w:r>
      <w:r w:rsidR="00E901F7">
        <w:rPr>
          <w:sz w:val="23"/>
          <w:szCs w:val="23"/>
        </w:rPr>
        <w:t xml:space="preserve">it </w:t>
      </w:r>
      <w:r w:rsidR="00675EED">
        <w:rPr>
          <w:sz w:val="23"/>
          <w:szCs w:val="23"/>
        </w:rPr>
        <w:t xml:space="preserve">is very likely to be stabilized before the Subject units start leasing, so we won’t include those units.  </w:t>
      </w:r>
    </w:p>
    <w:p w:rsidR="00675EED" w:rsidRDefault="00675EED" w:rsidP="00F32A78">
      <w:pPr>
        <w:pStyle w:val="Default"/>
        <w:rPr>
          <w:sz w:val="23"/>
          <w:szCs w:val="23"/>
        </w:rPr>
      </w:pPr>
    </w:p>
    <w:p w:rsidR="00675EED" w:rsidRDefault="00675EED" w:rsidP="00F32A78">
      <w:pPr>
        <w:pStyle w:val="Default"/>
        <w:rPr>
          <w:sz w:val="23"/>
          <w:szCs w:val="23"/>
        </w:rPr>
      </w:pPr>
      <w:r>
        <w:rPr>
          <w:sz w:val="23"/>
          <w:szCs w:val="23"/>
        </w:rPr>
        <w:lastRenderedPageBreak/>
        <w:t xml:space="preserve">In rural areas, </w:t>
      </w:r>
      <w:r w:rsidR="00E901F7">
        <w:rPr>
          <w:sz w:val="23"/>
          <w:szCs w:val="23"/>
        </w:rPr>
        <w:t>Staff is</w:t>
      </w:r>
      <w:r>
        <w:rPr>
          <w:sz w:val="23"/>
          <w:szCs w:val="23"/>
        </w:rPr>
        <w:t xml:space="preserve"> more likely to include any competitive property</w:t>
      </w:r>
      <w:r w:rsidR="005908BB">
        <w:rPr>
          <w:sz w:val="23"/>
          <w:szCs w:val="23"/>
        </w:rPr>
        <w:t xml:space="preserve"> </w:t>
      </w:r>
      <w:r>
        <w:rPr>
          <w:sz w:val="23"/>
          <w:szCs w:val="23"/>
        </w:rPr>
        <w:t xml:space="preserve">with an overlapping PMA </w:t>
      </w:r>
      <w:r w:rsidR="00DD6B53">
        <w:rPr>
          <w:sz w:val="23"/>
          <w:szCs w:val="23"/>
        </w:rPr>
        <w:t xml:space="preserve">that is not stabilized </w:t>
      </w:r>
      <w:r>
        <w:rPr>
          <w:sz w:val="23"/>
          <w:szCs w:val="23"/>
        </w:rPr>
        <w:t xml:space="preserve">since the </w:t>
      </w:r>
      <w:r w:rsidR="005908BB">
        <w:rPr>
          <w:sz w:val="23"/>
          <w:szCs w:val="23"/>
        </w:rPr>
        <w:t>census tracts are less populous, r</w:t>
      </w:r>
      <w:r>
        <w:rPr>
          <w:sz w:val="23"/>
          <w:szCs w:val="23"/>
        </w:rPr>
        <w:t xml:space="preserve">ural PMA’s </w:t>
      </w:r>
      <w:r w:rsidR="00E901F7">
        <w:rPr>
          <w:sz w:val="23"/>
          <w:szCs w:val="23"/>
        </w:rPr>
        <w:t xml:space="preserve">are </w:t>
      </w:r>
      <w:r>
        <w:rPr>
          <w:sz w:val="23"/>
          <w:szCs w:val="23"/>
        </w:rPr>
        <w:t>usually</w:t>
      </w:r>
      <w:r w:rsidR="00E901F7">
        <w:rPr>
          <w:sz w:val="23"/>
          <w:szCs w:val="23"/>
        </w:rPr>
        <w:t xml:space="preserve"> </w:t>
      </w:r>
      <w:r w:rsidR="005908BB">
        <w:rPr>
          <w:sz w:val="23"/>
          <w:szCs w:val="23"/>
        </w:rPr>
        <w:t xml:space="preserve">large, and lease-up can </w:t>
      </w:r>
      <w:r w:rsidR="00DD6B53">
        <w:rPr>
          <w:sz w:val="23"/>
          <w:szCs w:val="23"/>
        </w:rPr>
        <w:t>be slower</w:t>
      </w:r>
      <w:r w:rsidR="005908BB">
        <w:rPr>
          <w:sz w:val="23"/>
          <w:szCs w:val="23"/>
        </w:rPr>
        <w:t>.</w:t>
      </w:r>
    </w:p>
    <w:p w:rsidR="00FF2958" w:rsidRDefault="00FF2958" w:rsidP="00F32A78">
      <w:pPr>
        <w:pStyle w:val="Default"/>
        <w:rPr>
          <w:sz w:val="23"/>
          <w:szCs w:val="23"/>
        </w:rPr>
      </w:pPr>
    </w:p>
    <w:p w:rsidR="00FF2958" w:rsidRDefault="00FF2958" w:rsidP="00F32A78">
      <w:pPr>
        <w:pStyle w:val="Default"/>
        <w:rPr>
          <w:sz w:val="23"/>
          <w:szCs w:val="23"/>
        </w:rPr>
      </w:pPr>
      <w:r>
        <w:rPr>
          <w:sz w:val="23"/>
          <w:szCs w:val="23"/>
        </w:rPr>
        <w:t xml:space="preserve">Market analysts are </w:t>
      </w:r>
      <w:r w:rsidR="00B81C44">
        <w:rPr>
          <w:sz w:val="23"/>
          <w:szCs w:val="23"/>
        </w:rPr>
        <w:t>welcome and encouraged</w:t>
      </w:r>
      <w:r>
        <w:rPr>
          <w:sz w:val="23"/>
          <w:szCs w:val="23"/>
        </w:rPr>
        <w:t xml:space="preserve"> to discuss po</w:t>
      </w:r>
      <w:r w:rsidR="00B81C44">
        <w:rPr>
          <w:sz w:val="23"/>
          <w:szCs w:val="23"/>
        </w:rPr>
        <w:t>ssible issues with Staff when drafting their market stud</w:t>
      </w:r>
      <w:r w:rsidR="000A04D3">
        <w:rPr>
          <w:sz w:val="23"/>
          <w:szCs w:val="23"/>
        </w:rPr>
        <w:t>ies</w:t>
      </w:r>
      <w:r w:rsidR="00B81C44">
        <w:rPr>
          <w:sz w:val="23"/>
          <w:szCs w:val="23"/>
        </w:rPr>
        <w:t>.</w:t>
      </w:r>
    </w:p>
    <w:p w:rsidR="004E66F1" w:rsidRDefault="004E66F1" w:rsidP="00F32A78">
      <w:pPr>
        <w:pStyle w:val="Default"/>
        <w:rPr>
          <w:sz w:val="23"/>
          <w:szCs w:val="23"/>
        </w:rPr>
      </w:pPr>
    </w:p>
    <w:p w:rsidR="00C620FD" w:rsidRPr="002E3AF9" w:rsidRDefault="00E87D9B" w:rsidP="00F32A78">
      <w:pPr>
        <w:pStyle w:val="Default"/>
        <w:rPr>
          <w:b/>
          <w:bCs/>
          <w:sz w:val="23"/>
          <w:szCs w:val="23"/>
        </w:rPr>
      </w:pPr>
      <w:r>
        <w:rPr>
          <w:b/>
          <w:bCs/>
          <w:sz w:val="23"/>
          <w:szCs w:val="23"/>
        </w:rPr>
        <w:t xml:space="preserve">4) </w:t>
      </w:r>
      <w:r w:rsidR="00C620FD" w:rsidRPr="002E3AF9">
        <w:rPr>
          <w:b/>
          <w:bCs/>
          <w:sz w:val="23"/>
          <w:szCs w:val="23"/>
        </w:rPr>
        <w:t xml:space="preserve">How </w:t>
      </w:r>
      <w:r w:rsidR="002E3AF9" w:rsidRPr="002E3AF9">
        <w:rPr>
          <w:b/>
          <w:bCs/>
          <w:sz w:val="23"/>
          <w:szCs w:val="23"/>
        </w:rPr>
        <w:t xml:space="preserve">do I find competitive properties or </w:t>
      </w:r>
      <w:r w:rsidR="000A04D3" w:rsidRPr="002E3AF9">
        <w:rPr>
          <w:b/>
          <w:bCs/>
          <w:sz w:val="23"/>
          <w:szCs w:val="23"/>
        </w:rPr>
        <w:t>competitive</w:t>
      </w:r>
      <w:r w:rsidR="002E3AF9" w:rsidRPr="002E3AF9">
        <w:rPr>
          <w:b/>
          <w:bCs/>
          <w:sz w:val="23"/>
          <w:szCs w:val="23"/>
        </w:rPr>
        <w:t xml:space="preserve"> applications to include in my capture rate calculations?</w:t>
      </w:r>
    </w:p>
    <w:p w:rsidR="00C620FD" w:rsidRDefault="00C620FD" w:rsidP="00F32A78">
      <w:pPr>
        <w:pStyle w:val="Default"/>
        <w:rPr>
          <w:bCs/>
          <w:sz w:val="23"/>
          <w:szCs w:val="23"/>
        </w:rPr>
      </w:pPr>
    </w:p>
    <w:p w:rsidR="000A04D3" w:rsidRDefault="000A04D3" w:rsidP="00F32A78">
      <w:pPr>
        <w:pStyle w:val="Default"/>
        <w:rPr>
          <w:bCs/>
          <w:sz w:val="23"/>
          <w:szCs w:val="23"/>
        </w:rPr>
      </w:pPr>
      <w:r>
        <w:rPr>
          <w:bCs/>
          <w:sz w:val="23"/>
          <w:szCs w:val="23"/>
        </w:rPr>
        <w:t>All TDHCA underwriting</w:t>
      </w:r>
      <w:r w:rsidR="000C05AF">
        <w:rPr>
          <w:bCs/>
          <w:sz w:val="23"/>
          <w:szCs w:val="23"/>
        </w:rPr>
        <w:t xml:space="preserve"> reports are published on the TDHCA </w:t>
      </w:r>
      <w:r>
        <w:rPr>
          <w:bCs/>
          <w:sz w:val="23"/>
          <w:szCs w:val="23"/>
        </w:rPr>
        <w:t>website (</w:t>
      </w:r>
      <w:hyperlink r:id="rId4" w:history="1">
        <w:r w:rsidRPr="0036208F">
          <w:rPr>
            <w:rStyle w:val="Hyperlink"/>
            <w:bCs/>
            <w:sz w:val="23"/>
            <w:szCs w:val="23"/>
          </w:rPr>
          <w:t>https://www.tdhca.state.tx.us/rea/index.htm</w:t>
        </w:r>
      </w:hyperlink>
      <w:r>
        <w:rPr>
          <w:bCs/>
          <w:sz w:val="23"/>
          <w:szCs w:val="23"/>
        </w:rPr>
        <w:t xml:space="preserve"> ).  They are </w:t>
      </w:r>
      <w:r w:rsidR="000C05AF">
        <w:rPr>
          <w:bCs/>
          <w:sz w:val="23"/>
          <w:szCs w:val="23"/>
        </w:rPr>
        <w:t>separated</w:t>
      </w:r>
      <w:r>
        <w:rPr>
          <w:bCs/>
          <w:sz w:val="23"/>
          <w:szCs w:val="23"/>
        </w:rPr>
        <w:t xml:space="preserve"> in</w:t>
      </w:r>
      <w:r w:rsidR="000C05AF">
        <w:rPr>
          <w:bCs/>
          <w:sz w:val="23"/>
          <w:szCs w:val="23"/>
        </w:rPr>
        <w:t>to</w:t>
      </w:r>
      <w:r>
        <w:rPr>
          <w:bCs/>
          <w:sz w:val="23"/>
          <w:szCs w:val="23"/>
        </w:rPr>
        <w:t xml:space="preserve"> three different groups:</w:t>
      </w:r>
    </w:p>
    <w:p w:rsidR="000A04D3" w:rsidRDefault="000A04D3" w:rsidP="00F32A78">
      <w:pPr>
        <w:pStyle w:val="Default"/>
        <w:rPr>
          <w:bCs/>
          <w:sz w:val="23"/>
          <w:szCs w:val="23"/>
        </w:rPr>
      </w:pPr>
      <w:r>
        <w:rPr>
          <w:bCs/>
          <w:sz w:val="23"/>
          <w:szCs w:val="23"/>
        </w:rPr>
        <w:t>1. Upcoming Board Meeting Underwriting Reports</w:t>
      </w:r>
    </w:p>
    <w:p w:rsidR="000A04D3" w:rsidRDefault="000A04D3" w:rsidP="00F32A78">
      <w:pPr>
        <w:pStyle w:val="Default"/>
        <w:rPr>
          <w:bCs/>
          <w:sz w:val="23"/>
          <w:szCs w:val="23"/>
        </w:rPr>
      </w:pPr>
      <w:r>
        <w:rPr>
          <w:bCs/>
          <w:sz w:val="23"/>
          <w:szCs w:val="23"/>
        </w:rPr>
        <w:t>2. The most recent 9% cycle of Underwriting Reports</w:t>
      </w:r>
    </w:p>
    <w:p w:rsidR="000A04D3" w:rsidRDefault="000A04D3" w:rsidP="00F32A78">
      <w:pPr>
        <w:pStyle w:val="Default"/>
        <w:rPr>
          <w:bCs/>
          <w:sz w:val="23"/>
          <w:szCs w:val="23"/>
        </w:rPr>
      </w:pPr>
      <w:r>
        <w:rPr>
          <w:bCs/>
          <w:sz w:val="23"/>
          <w:szCs w:val="23"/>
        </w:rPr>
        <w:t xml:space="preserve">3. Underwriting reports (previous 9% and 4% Underwriting Reports) </w:t>
      </w:r>
    </w:p>
    <w:p w:rsidR="000A04D3" w:rsidRDefault="000A04D3" w:rsidP="00F32A78">
      <w:pPr>
        <w:pStyle w:val="Default"/>
        <w:rPr>
          <w:bCs/>
          <w:sz w:val="23"/>
          <w:szCs w:val="23"/>
        </w:rPr>
      </w:pPr>
    </w:p>
    <w:p w:rsidR="00F300EF" w:rsidRDefault="000A04D3" w:rsidP="00F32A78">
      <w:pPr>
        <w:pStyle w:val="Default"/>
        <w:rPr>
          <w:bCs/>
          <w:sz w:val="23"/>
          <w:szCs w:val="23"/>
        </w:rPr>
      </w:pPr>
      <w:r>
        <w:rPr>
          <w:bCs/>
          <w:sz w:val="23"/>
          <w:szCs w:val="23"/>
        </w:rPr>
        <w:t xml:space="preserve">As for </w:t>
      </w:r>
      <w:r w:rsidR="00C92A91">
        <w:rPr>
          <w:bCs/>
          <w:sz w:val="23"/>
          <w:szCs w:val="23"/>
        </w:rPr>
        <w:t xml:space="preserve">competitive applications </w:t>
      </w:r>
      <w:r>
        <w:rPr>
          <w:bCs/>
          <w:sz w:val="23"/>
          <w:szCs w:val="23"/>
        </w:rPr>
        <w:t xml:space="preserve">prior to award, </w:t>
      </w:r>
      <w:r w:rsidR="00C92A91">
        <w:rPr>
          <w:bCs/>
          <w:sz w:val="23"/>
          <w:szCs w:val="23"/>
        </w:rPr>
        <w:t>ask</w:t>
      </w:r>
      <w:r>
        <w:rPr>
          <w:bCs/>
          <w:sz w:val="23"/>
          <w:szCs w:val="23"/>
        </w:rPr>
        <w:t xml:space="preserve"> the</w:t>
      </w:r>
      <w:r w:rsidR="00C92A91">
        <w:rPr>
          <w:bCs/>
          <w:sz w:val="23"/>
          <w:szCs w:val="23"/>
        </w:rPr>
        <w:t xml:space="preserve"> applicant</w:t>
      </w:r>
      <w:r>
        <w:rPr>
          <w:bCs/>
          <w:sz w:val="23"/>
          <w:szCs w:val="23"/>
        </w:rPr>
        <w:t xml:space="preserve"> if they are aware of any other tax credit applications or recent </w:t>
      </w:r>
      <w:r w:rsidR="00C92A91">
        <w:rPr>
          <w:bCs/>
          <w:sz w:val="23"/>
          <w:szCs w:val="23"/>
        </w:rPr>
        <w:t>awards in the PMA of their proposed development.</w:t>
      </w:r>
    </w:p>
    <w:p w:rsidR="00743652" w:rsidRDefault="00743652" w:rsidP="00F32A78">
      <w:pPr>
        <w:pStyle w:val="Default"/>
        <w:rPr>
          <w:bCs/>
          <w:sz w:val="23"/>
          <w:szCs w:val="23"/>
        </w:rPr>
      </w:pPr>
    </w:p>
    <w:p w:rsidR="00F300EF" w:rsidRDefault="00F300EF" w:rsidP="00F32A78">
      <w:pPr>
        <w:pStyle w:val="Default"/>
        <w:rPr>
          <w:bCs/>
          <w:sz w:val="23"/>
          <w:szCs w:val="23"/>
        </w:rPr>
      </w:pPr>
      <w:r>
        <w:rPr>
          <w:bCs/>
          <w:sz w:val="23"/>
          <w:szCs w:val="23"/>
        </w:rPr>
        <w:t xml:space="preserve">Tax Exempt Bond/4% HTC applications that have been received by the Department can be found on the Department website: </w:t>
      </w:r>
    </w:p>
    <w:p w:rsidR="00F300EF" w:rsidRDefault="0072543B" w:rsidP="00F32A78">
      <w:pPr>
        <w:pStyle w:val="Default"/>
        <w:rPr>
          <w:rStyle w:val="Hyperlink"/>
          <w:bCs/>
          <w:sz w:val="23"/>
          <w:szCs w:val="23"/>
        </w:rPr>
      </w:pPr>
      <w:hyperlink r:id="rId5" w:history="1">
        <w:r w:rsidR="00F300EF" w:rsidRPr="009734C3">
          <w:rPr>
            <w:rStyle w:val="Hyperlink"/>
            <w:bCs/>
            <w:sz w:val="23"/>
            <w:szCs w:val="23"/>
          </w:rPr>
          <w:t>https://www.tdhca.state.tx.us/multifamily/housing-tax-credits-4pct/index.htm</w:t>
        </w:r>
      </w:hyperlink>
    </w:p>
    <w:p w:rsidR="00743652" w:rsidRDefault="00743652" w:rsidP="00F32A78">
      <w:pPr>
        <w:pStyle w:val="Default"/>
        <w:rPr>
          <w:bCs/>
          <w:sz w:val="23"/>
          <w:szCs w:val="23"/>
        </w:rPr>
      </w:pPr>
    </w:p>
    <w:p w:rsidR="000A04D3" w:rsidRDefault="00F300EF" w:rsidP="00F32A78">
      <w:pPr>
        <w:pStyle w:val="Default"/>
        <w:rPr>
          <w:b/>
          <w:bCs/>
          <w:sz w:val="23"/>
          <w:szCs w:val="23"/>
        </w:rPr>
      </w:pPr>
      <w:r w:rsidRPr="00D170AA">
        <w:rPr>
          <w:bCs/>
          <w:color w:val="auto"/>
          <w:sz w:val="23"/>
          <w:szCs w:val="23"/>
        </w:rPr>
        <w:t xml:space="preserve">Applications for bond reservations can be found on </w:t>
      </w:r>
      <w:r w:rsidR="000A04D3" w:rsidRPr="00D170AA">
        <w:rPr>
          <w:bCs/>
          <w:color w:val="auto"/>
          <w:sz w:val="23"/>
          <w:szCs w:val="23"/>
        </w:rPr>
        <w:t xml:space="preserve">the </w:t>
      </w:r>
      <w:r w:rsidR="000A04D3">
        <w:rPr>
          <w:bCs/>
          <w:sz w:val="23"/>
          <w:szCs w:val="23"/>
        </w:rPr>
        <w:t>Bond Review Board website</w:t>
      </w:r>
      <w:r w:rsidR="00C92A91">
        <w:rPr>
          <w:bCs/>
          <w:sz w:val="23"/>
          <w:szCs w:val="23"/>
        </w:rPr>
        <w:t xml:space="preserve"> (</w:t>
      </w:r>
      <w:hyperlink r:id="rId6" w:history="1">
        <w:r w:rsidR="00C92A91" w:rsidRPr="0036208F">
          <w:rPr>
            <w:rStyle w:val="Hyperlink"/>
            <w:bCs/>
            <w:sz w:val="23"/>
            <w:szCs w:val="23"/>
          </w:rPr>
          <w:t>http://www.brb.state.tx.us/pab/pab_resources.aspx</w:t>
        </w:r>
      </w:hyperlink>
      <w:r w:rsidR="00C92A91">
        <w:rPr>
          <w:bCs/>
          <w:sz w:val="23"/>
          <w:szCs w:val="23"/>
        </w:rPr>
        <w:t xml:space="preserve"> </w:t>
      </w:r>
      <w:r w:rsidR="00D170AA">
        <w:rPr>
          <w:bCs/>
          <w:sz w:val="23"/>
          <w:szCs w:val="23"/>
        </w:rPr>
        <w:t xml:space="preserve">).  </w:t>
      </w:r>
      <w:r w:rsidR="000C05AF">
        <w:rPr>
          <w:bCs/>
          <w:sz w:val="23"/>
          <w:szCs w:val="23"/>
        </w:rPr>
        <w:t xml:space="preserve">The bond reservation date helps establish priority for capture rate calculations as discussed in </w:t>
      </w:r>
      <w:r w:rsidR="000C05AF" w:rsidRPr="00F32A78">
        <w:rPr>
          <w:bCs/>
          <w:sz w:val="23"/>
          <w:szCs w:val="23"/>
        </w:rPr>
        <w:t>11.201(6)(A)</w:t>
      </w:r>
      <w:r w:rsidR="00A0185C">
        <w:rPr>
          <w:b/>
          <w:bCs/>
          <w:sz w:val="23"/>
          <w:szCs w:val="23"/>
        </w:rPr>
        <w:t>.</w:t>
      </w:r>
    </w:p>
    <w:p w:rsidR="00A0185C" w:rsidRDefault="00A0185C" w:rsidP="00F32A78">
      <w:pPr>
        <w:pStyle w:val="Default"/>
        <w:rPr>
          <w:b/>
          <w:bCs/>
          <w:sz w:val="23"/>
          <w:szCs w:val="23"/>
        </w:rPr>
      </w:pPr>
    </w:p>
    <w:p w:rsidR="00A51AB6" w:rsidRDefault="00A0185C" w:rsidP="00F32A78">
      <w:pPr>
        <w:pStyle w:val="Default"/>
        <w:rPr>
          <w:bCs/>
          <w:color w:val="auto"/>
          <w:sz w:val="23"/>
          <w:szCs w:val="23"/>
        </w:rPr>
      </w:pPr>
      <w:r w:rsidRPr="00D170AA">
        <w:rPr>
          <w:bCs/>
          <w:color w:val="auto"/>
          <w:sz w:val="23"/>
          <w:szCs w:val="23"/>
        </w:rPr>
        <w:t xml:space="preserve">For 9% applications, </w:t>
      </w:r>
      <w:r w:rsidR="00D170AA">
        <w:rPr>
          <w:bCs/>
          <w:color w:val="auto"/>
          <w:sz w:val="23"/>
          <w:szCs w:val="23"/>
        </w:rPr>
        <w:t>the scoring/priority for award</w:t>
      </w:r>
      <w:r w:rsidR="00743652">
        <w:rPr>
          <w:bCs/>
          <w:color w:val="auto"/>
          <w:sz w:val="23"/>
          <w:szCs w:val="23"/>
        </w:rPr>
        <w:t>s</w:t>
      </w:r>
      <w:r w:rsidR="00D170AA">
        <w:rPr>
          <w:bCs/>
          <w:color w:val="auto"/>
          <w:sz w:val="23"/>
          <w:szCs w:val="23"/>
        </w:rPr>
        <w:t xml:space="preserve"> will not be known before Market Studies are due</w:t>
      </w:r>
      <w:r w:rsidR="00743652">
        <w:rPr>
          <w:bCs/>
          <w:color w:val="auto"/>
          <w:sz w:val="23"/>
          <w:szCs w:val="23"/>
        </w:rPr>
        <w:t xml:space="preserve">.  TDHCA </w:t>
      </w:r>
      <w:r w:rsidR="00A51AB6">
        <w:rPr>
          <w:bCs/>
          <w:color w:val="auto"/>
          <w:sz w:val="23"/>
          <w:szCs w:val="23"/>
        </w:rPr>
        <w:t xml:space="preserve">program review/scoring </w:t>
      </w:r>
      <w:r w:rsidR="00743652">
        <w:rPr>
          <w:bCs/>
          <w:color w:val="auto"/>
          <w:sz w:val="23"/>
          <w:szCs w:val="23"/>
        </w:rPr>
        <w:t>of the 9% applications</w:t>
      </w:r>
      <w:r w:rsidR="00A51AB6">
        <w:rPr>
          <w:bCs/>
          <w:color w:val="auto"/>
          <w:sz w:val="23"/>
          <w:szCs w:val="23"/>
        </w:rPr>
        <w:t xml:space="preserve"> will just be starting</w:t>
      </w:r>
      <w:r w:rsidR="00743652">
        <w:rPr>
          <w:bCs/>
          <w:color w:val="auto"/>
          <w:sz w:val="23"/>
          <w:szCs w:val="23"/>
        </w:rPr>
        <w:t xml:space="preserve"> when the Market Studies are due</w:t>
      </w:r>
      <w:r w:rsidR="00D170AA">
        <w:rPr>
          <w:bCs/>
          <w:color w:val="auto"/>
          <w:sz w:val="23"/>
          <w:szCs w:val="23"/>
        </w:rPr>
        <w:t xml:space="preserve">.  You can look at 9% application log posted on the 9% page </w:t>
      </w:r>
      <w:r w:rsidR="00A51AB6">
        <w:rPr>
          <w:bCs/>
          <w:color w:val="auto"/>
          <w:sz w:val="23"/>
          <w:szCs w:val="23"/>
        </w:rPr>
        <w:t xml:space="preserve">to get an idea of 9% applications in the area, but you will not know for sure which will have priority over the Subject.  </w:t>
      </w:r>
      <w:hyperlink r:id="rId7" w:history="1">
        <w:r w:rsidR="00A51AB6" w:rsidRPr="0036351D">
          <w:rPr>
            <w:rStyle w:val="Hyperlink"/>
            <w:bCs/>
            <w:sz w:val="23"/>
            <w:szCs w:val="23"/>
          </w:rPr>
          <w:t>https://www.tdhca.state.tx.us/multifamily/housing-tax-credits-9pct/index.htm</w:t>
        </w:r>
      </w:hyperlink>
    </w:p>
    <w:p w:rsidR="00743652" w:rsidRDefault="00743652" w:rsidP="00F32A78">
      <w:pPr>
        <w:pStyle w:val="Default"/>
        <w:rPr>
          <w:bCs/>
          <w:color w:val="auto"/>
          <w:sz w:val="23"/>
          <w:szCs w:val="23"/>
        </w:rPr>
      </w:pPr>
    </w:p>
    <w:p w:rsidR="00A0185C" w:rsidRDefault="00A0185C" w:rsidP="00F32A78">
      <w:pPr>
        <w:pStyle w:val="Default"/>
        <w:rPr>
          <w:bCs/>
          <w:color w:val="auto"/>
          <w:sz w:val="23"/>
          <w:szCs w:val="23"/>
        </w:rPr>
      </w:pPr>
      <w:r w:rsidRPr="00D170AA">
        <w:rPr>
          <w:bCs/>
          <w:color w:val="auto"/>
          <w:sz w:val="23"/>
          <w:szCs w:val="23"/>
        </w:rPr>
        <w:t xml:space="preserve">Staff will include </w:t>
      </w:r>
      <w:r w:rsidR="00743652">
        <w:rPr>
          <w:bCs/>
          <w:color w:val="auto"/>
          <w:sz w:val="23"/>
          <w:szCs w:val="23"/>
        </w:rPr>
        <w:t>the</w:t>
      </w:r>
      <w:r w:rsidRPr="00D170AA">
        <w:rPr>
          <w:bCs/>
          <w:color w:val="auto"/>
          <w:sz w:val="23"/>
          <w:szCs w:val="23"/>
        </w:rPr>
        <w:t xml:space="preserve"> </w:t>
      </w:r>
      <w:r w:rsidR="00743652">
        <w:rPr>
          <w:bCs/>
          <w:color w:val="auto"/>
          <w:sz w:val="23"/>
          <w:szCs w:val="23"/>
        </w:rPr>
        <w:t xml:space="preserve">high scoring </w:t>
      </w:r>
      <w:r w:rsidRPr="00D170AA">
        <w:rPr>
          <w:bCs/>
          <w:color w:val="auto"/>
          <w:sz w:val="23"/>
          <w:szCs w:val="23"/>
        </w:rPr>
        <w:t xml:space="preserve">competitive </w:t>
      </w:r>
      <w:r w:rsidR="00743652">
        <w:rPr>
          <w:bCs/>
          <w:color w:val="auto"/>
          <w:sz w:val="23"/>
          <w:szCs w:val="23"/>
        </w:rPr>
        <w:t xml:space="preserve">9% </w:t>
      </w:r>
      <w:r w:rsidRPr="00D170AA">
        <w:rPr>
          <w:bCs/>
          <w:color w:val="auto"/>
          <w:sz w:val="23"/>
          <w:szCs w:val="23"/>
        </w:rPr>
        <w:t xml:space="preserve">applications </w:t>
      </w:r>
      <w:r w:rsidR="00743652">
        <w:rPr>
          <w:bCs/>
          <w:color w:val="auto"/>
          <w:sz w:val="23"/>
          <w:szCs w:val="23"/>
        </w:rPr>
        <w:t>in their capture rate calculations</w:t>
      </w:r>
      <w:r w:rsidRPr="00D170AA">
        <w:rPr>
          <w:bCs/>
          <w:color w:val="auto"/>
          <w:sz w:val="23"/>
          <w:szCs w:val="23"/>
        </w:rPr>
        <w:t xml:space="preserve"> </w:t>
      </w:r>
      <w:r w:rsidR="00743652">
        <w:rPr>
          <w:bCs/>
          <w:color w:val="auto"/>
          <w:sz w:val="23"/>
          <w:szCs w:val="23"/>
        </w:rPr>
        <w:t xml:space="preserve">at the time of underwriting, </w:t>
      </w:r>
      <w:r w:rsidRPr="00D170AA">
        <w:rPr>
          <w:bCs/>
          <w:color w:val="auto"/>
          <w:sz w:val="23"/>
          <w:szCs w:val="23"/>
        </w:rPr>
        <w:t>regardless of whether they were considered by the Market Analyst.</w:t>
      </w:r>
      <w:r w:rsidR="00D170AA">
        <w:rPr>
          <w:bCs/>
          <w:color w:val="auto"/>
          <w:sz w:val="23"/>
          <w:szCs w:val="23"/>
        </w:rPr>
        <w:t xml:space="preserve">  </w:t>
      </w:r>
    </w:p>
    <w:p w:rsidR="00A51AB6" w:rsidRDefault="00A51AB6" w:rsidP="00F32A78">
      <w:pPr>
        <w:pStyle w:val="Default"/>
        <w:rPr>
          <w:bCs/>
          <w:color w:val="auto"/>
          <w:sz w:val="23"/>
          <w:szCs w:val="23"/>
        </w:rPr>
      </w:pPr>
    </w:p>
    <w:p w:rsidR="00A51AB6" w:rsidRPr="00D170AA" w:rsidRDefault="00A51AB6" w:rsidP="00F32A78">
      <w:pPr>
        <w:pStyle w:val="Default"/>
        <w:rPr>
          <w:bCs/>
          <w:color w:val="auto"/>
          <w:sz w:val="23"/>
          <w:szCs w:val="23"/>
        </w:rPr>
      </w:pPr>
      <w:r>
        <w:rPr>
          <w:bCs/>
          <w:color w:val="auto"/>
          <w:sz w:val="23"/>
          <w:szCs w:val="23"/>
        </w:rPr>
        <w:t>If a bond deal has a reservation date prior to the 9% application deadline, the bond deal has priority over the 9% applications.</w:t>
      </w:r>
    </w:p>
    <w:p w:rsidR="00F300EF" w:rsidRDefault="00F300EF" w:rsidP="00F32A78">
      <w:pPr>
        <w:pStyle w:val="Default"/>
        <w:rPr>
          <w:bCs/>
          <w:color w:val="FF0000"/>
          <w:sz w:val="23"/>
          <w:szCs w:val="23"/>
        </w:rPr>
      </w:pPr>
    </w:p>
    <w:p w:rsidR="00F300EF" w:rsidRPr="00F300EF" w:rsidRDefault="00F300EF" w:rsidP="00F32A78">
      <w:pPr>
        <w:pStyle w:val="Default"/>
        <w:rPr>
          <w:b/>
          <w:bCs/>
          <w:i/>
          <w:color w:val="FF0000"/>
          <w:sz w:val="23"/>
          <w:szCs w:val="23"/>
        </w:rPr>
      </w:pPr>
    </w:p>
    <w:p w:rsidR="00C620FD" w:rsidRDefault="00C620FD" w:rsidP="00F32A78">
      <w:pPr>
        <w:pStyle w:val="Default"/>
        <w:rPr>
          <w:bCs/>
          <w:sz w:val="23"/>
          <w:szCs w:val="23"/>
        </w:rPr>
      </w:pPr>
    </w:p>
    <w:sectPr w:rsidR="00C6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10"/>
    <w:rsid w:val="000A04D3"/>
    <w:rsid w:val="000A536F"/>
    <w:rsid w:val="000C05AF"/>
    <w:rsid w:val="000C1F17"/>
    <w:rsid w:val="000D5210"/>
    <w:rsid w:val="000E342C"/>
    <w:rsid w:val="000F3DBC"/>
    <w:rsid w:val="002E3AF9"/>
    <w:rsid w:val="002F7690"/>
    <w:rsid w:val="002F781E"/>
    <w:rsid w:val="00327FD1"/>
    <w:rsid w:val="00431558"/>
    <w:rsid w:val="004E66F1"/>
    <w:rsid w:val="005434D1"/>
    <w:rsid w:val="005908BB"/>
    <w:rsid w:val="00635C87"/>
    <w:rsid w:val="00675EED"/>
    <w:rsid w:val="0072543B"/>
    <w:rsid w:val="00743652"/>
    <w:rsid w:val="007B4343"/>
    <w:rsid w:val="007E50CB"/>
    <w:rsid w:val="00A0185C"/>
    <w:rsid w:val="00A51AB6"/>
    <w:rsid w:val="00B63B0F"/>
    <w:rsid w:val="00B81C44"/>
    <w:rsid w:val="00C16F19"/>
    <w:rsid w:val="00C620FD"/>
    <w:rsid w:val="00C92A91"/>
    <w:rsid w:val="00D04C2B"/>
    <w:rsid w:val="00D170AA"/>
    <w:rsid w:val="00D90DA3"/>
    <w:rsid w:val="00DD6B53"/>
    <w:rsid w:val="00E87D9B"/>
    <w:rsid w:val="00E901F7"/>
    <w:rsid w:val="00EC7DB6"/>
    <w:rsid w:val="00F300EF"/>
    <w:rsid w:val="00F32A78"/>
    <w:rsid w:val="00FF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8263B-EEE6-48ED-855A-0D80F8A2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2A7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A04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dhca.state.tx.us/multifamily/housing-tax-credits-9pct/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b.state.tx.us/pab/pab_resources.aspx" TargetMode="External"/><Relationship Id="rId5" Type="http://schemas.openxmlformats.org/officeDocument/2006/relationships/hyperlink" Target="https://www.tdhca.state.tx.us/multifamily/housing-tax-credits-4pct/index.htm" TargetMode="External"/><Relationship Id="rId4" Type="http://schemas.openxmlformats.org/officeDocument/2006/relationships/hyperlink" Target="https://www.tdhca.state.tx.us/rea/index.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Jeanna Adams</dc:creator>
  <cp:keywords/>
  <dc:description/>
  <cp:lastModifiedBy>Jeanna Adams</cp:lastModifiedBy>
  <cp:revision>14</cp:revision>
  <dcterms:created xsi:type="dcterms:W3CDTF">2021-03-17T20:15:00Z</dcterms:created>
  <dcterms:modified xsi:type="dcterms:W3CDTF">2021-03-31T17:07:00Z</dcterms:modified>
</cp:coreProperties>
</file>